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AF89" w14:textId="44ED91F8" w:rsidR="00F657B1" w:rsidRDefault="00652DBA" w:rsidP="00E2299B">
      <w:pPr>
        <w:spacing w:after="0" w:line="240" w:lineRule="auto"/>
        <w:jc w:val="both"/>
        <w:rPr>
          <w:rFonts w:ascii="Palatino Linotype" w:hAnsi="Palatino Linotype"/>
          <w:b/>
          <w:bCs/>
          <w:sz w:val="36"/>
          <w:szCs w:val="36"/>
        </w:rPr>
      </w:pPr>
      <w:r w:rsidRPr="00E2299B">
        <w:rPr>
          <w:rFonts w:ascii="Palatino Linotype" w:hAnsi="Palatino Linotype"/>
          <w:noProof/>
          <w:sz w:val="36"/>
          <w:szCs w:val="36"/>
        </w:rPr>
        <mc:AlternateContent>
          <mc:Choice Requires="wps">
            <w:drawing>
              <wp:anchor distT="0" distB="0" distL="114300" distR="114300" simplePos="0" relativeHeight="251659264" behindDoc="0" locked="0" layoutInCell="1" allowOverlap="1" wp14:anchorId="3964803D" wp14:editId="531271F2">
                <wp:simplePos x="0" y="0"/>
                <wp:positionH relativeFrom="column">
                  <wp:posOffset>0</wp:posOffset>
                </wp:positionH>
                <wp:positionV relativeFrom="paragraph">
                  <wp:posOffset>0</wp:posOffset>
                </wp:positionV>
                <wp:extent cx="635000" cy="635000"/>
                <wp:effectExtent l="9525" t="9525" r="12700" b="12700"/>
                <wp:wrapNone/>
                <wp:docPr id="1810073328" name="Text Box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E4358" id="_x0000_t202" coordsize="21600,21600" o:spt="202" path="m,l,21600r21600,l21600,xe">
                <v:stroke joinstyle="miter"/>
                <v:path gradientshapeok="t" o:connecttype="rect"/>
              </v:shapetype>
              <v:shape id="Text Box 6"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bookmarkStart w:id="0" w:name="_Hlk46721501"/>
      <w:bookmarkStart w:id="1" w:name="_Hlk45756495"/>
      <w:r w:rsidRPr="00E2299B">
        <w:rPr>
          <w:rFonts w:ascii="Palatino Linotype" w:hAnsi="Palatino Linotype"/>
          <w:b/>
          <w:bCs/>
          <w:sz w:val="36"/>
          <w:szCs w:val="36"/>
        </w:rPr>
        <w:t xml:space="preserve">Use of Marine Microorganisms in the Production of Bioactive Materials for the Pharmaceutical Industry </w:t>
      </w:r>
    </w:p>
    <w:p w14:paraId="19871C54" w14:textId="77777777" w:rsidR="00E2299B" w:rsidRPr="00E2299B" w:rsidRDefault="00E2299B" w:rsidP="00E2299B">
      <w:pPr>
        <w:spacing w:after="0" w:line="240" w:lineRule="auto"/>
        <w:jc w:val="both"/>
        <w:rPr>
          <w:rFonts w:ascii="Palatino Linotype" w:hAnsi="Palatino Linotype"/>
          <w:b/>
          <w:bCs/>
          <w:sz w:val="36"/>
          <w:szCs w:val="36"/>
        </w:rPr>
      </w:pPr>
    </w:p>
    <w:p w14:paraId="75077B9F" w14:textId="034D3D5E" w:rsidR="00652DBA" w:rsidRPr="00E2299B" w:rsidRDefault="008C4B9E" w:rsidP="00E2299B">
      <w:pPr>
        <w:spacing w:after="0" w:line="240" w:lineRule="auto"/>
        <w:jc w:val="center"/>
        <w:rPr>
          <w:rFonts w:ascii="Palatino Linotype" w:hAnsi="Palatino Linotype" w:cs="Times New Roman"/>
          <w:lang w:val="en-US"/>
        </w:rPr>
      </w:pPr>
      <w:bookmarkStart w:id="2" w:name="_Hlk182732987"/>
      <w:r w:rsidRPr="00E2299B">
        <w:rPr>
          <w:rFonts w:ascii="Palatino Linotype" w:hAnsi="Palatino Linotype" w:cs="Times New Roman"/>
        </w:rPr>
        <w:t>Fetronela Rambu Bobu</w:t>
      </w:r>
      <w:r w:rsidRPr="00E2299B">
        <w:rPr>
          <w:rFonts w:ascii="Palatino Linotype" w:hAnsi="Palatino Linotype" w:cs="Times New Roman"/>
          <w:vertAlign w:val="superscript"/>
          <w:lang w:val="en-US"/>
        </w:rPr>
        <w:t>1</w:t>
      </w:r>
      <w:r w:rsidRPr="00E2299B">
        <w:rPr>
          <w:rFonts w:ascii="Palatino Linotype" w:hAnsi="Palatino Linotype" w:cs="Times New Roman"/>
          <w:lang w:val="en-US"/>
        </w:rPr>
        <w:t xml:space="preserve"> &amp; </w:t>
      </w:r>
      <w:r w:rsidR="00F657B1" w:rsidRPr="00E2299B">
        <w:rPr>
          <w:rFonts w:ascii="Palatino Linotype" w:hAnsi="Palatino Linotype" w:cs="Times New Roman"/>
        </w:rPr>
        <w:t>Ivan Junius Mesak</w:t>
      </w:r>
      <w:r w:rsidRPr="00E2299B">
        <w:rPr>
          <w:rFonts w:ascii="Palatino Linotype" w:hAnsi="Palatino Linotype" w:cs="Times New Roman"/>
          <w:vertAlign w:val="superscript"/>
          <w:lang w:val="en-US"/>
        </w:rPr>
        <w:t>2</w:t>
      </w:r>
      <w:r w:rsidR="00652DBA" w:rsidRPr="00E2299B">
        <w:rPr>
          <w:rFonts w:ascii="Palatino Linotype" w:hAnsi="Palatino Linotype" w:cs="Times New Roman"/>
          <w:lang w:val="en-US"/>
        </w:rPr>
        <w:t>*</w:t>
      </w:r>
    </w:p>
    <w:bookmarkEnd w:id="2"/>
    <w:p w14:paraId="3B1E7D45" w14:textId="2D264662" w:rsidR="00652DBA" w:rsidRPr="00E2299B" w:rsidRDefault="00E2299B" w:rsidP="00E2299B">
      <w:pPr>
        <w:spacing w:after="0" w:line="240" w:lineRule="auto"/>
        <w:jc w:val="center"/>
        <w:rPr>
          <w:rFonts w:ascii="Palatino Linotype" w:hAnsi="Palatino Linotype" w:cs="Times New Roman"/>
          <w:lang w:val="en-US"/>
        </w:rPr>
      </w:pPr>
      <w:r>
        <w:rPr>
          <w:rFonts w:ascii="Palatino Linotype" w:hAnsi="Palatino Linotype" w:cs="Times New Roman"/>
          <w:vertAlign w:val="superscript"/>
        </w:rPr>
        <w:t>1</w:t>
      </w:r>
      <w:r w:rsidRPr="00E2299B">
        <w:rPr>
          <w:rFonts w:ascii="Palatino Linotype" w:hAnsi="Palatino Linotype" w:cs="Times New Roman"/>
        </w:rPr>
        <w:t>Universitas Timor</w:t>
      </w:r>
      <w:r w:rsidR="00535BF6">
        <w:rPr>
          <w:rFonts w:ascii="Palatino Linotype" w:hAnsi="Palatino Linotype" w:cs="Times New Roman"/>
        </w:rPr>
        <w:t>,</w:t>
      </w:r>
      <w:r w:rsidR="009C56F5">
        <w:rPr>
          <w:rFonts w:ascii="Palatino Linotype" w:hAnsi="Palatino Linotype" w:cs="Times New Roman"/>
        </w:rPr>
        <w:t xml:space="preserve"> Indonesia</w:t>
      </w:r>
      <w:r>
        <w:rPr>
          <w:rFonts w:ascii="Palatino Linotype" w:hAnsi="Palatino Linotype" w:cs="Times New Roman"/>
        </w:rPr>
        <w:t xml:space="preserve">, </w:t>
      </w:r>
      <w:r w:rsidR="00533B5F" w:rsidRPr="00E2299B">
        <w:rPr>
          <w:rFonts w:ascii="Palatino Linotype" w:hAnsi="Palatino Linotype" w:cs="Times New Roman"/>
          <w:vertAlign w:val="superscript"/>
          <w:lang w:val="en-US"/>
        </w:rPr>
        <w:t>2</w:t>
      </w:r>
      <w:r>
        <w:rPr>
          <w:rFonts w:ascii="Palatino Linotype" w:hAnsi="Palatino Linotype" w:cs="Times New Roman"/>
        </w:rPr>
        <w:t>*</w:t>
      </w:r>
      <w:r w:rsidR="00F657B1" w:rsidRPr="00E2299B">
        <w:rPr>
          <w:rFonts w:ascii="Palatino Linotype" w:hAnsi="Palatino Linotype" w:cs="Times New Roman"/>
        </w:rPr>
        <w:t>Universita</w:t>
      </w:r>
      <w:r w:rsidR="00533B5F" w:rsidRPr="00E2299B">
        <w:rPr>
          <w:rFonts w:ascii="Palatino Linotype" w:hAnsi="Palatino Linotype" w:cs="Times New Roman"/>
        </w:rPr>
        <w:t>s</w:t>
      </w:r>
      <w:r w:rsidR="00F657B1" w:rsidRPr="00E2299B">
        <w:rPr>
          <w:rFonts w:ascii="Palatino Linotype" w:hAnsi="Palatino Linotype" w:cs="Times New Roman"/>
        </w:rPr>
        <w:t xml:space="preserve"> Strada Indonesia</w:t>
      </w:r>
      <w:r w:rsidR="00652DBA" w:rsidRPr="00E2299B">
        <w:rPr>
          <w:rFonts w:ascii="Palatino Linotype" w:hAnsi="Palatino Linotype" w:cs="Times New Roman"/>
          <w:lang w:val="en-US"/>
        </w:rPr>
        <w:t xml:space="preserve">, </w:t>
      </w:r>
      <w:r w:rsidR="00F657B1" w:rsidRPr="00E2299B">
        <w:rPr>
          <w:rFonts w:ascii="Palatino Linotype" w:hAnsi="Palatino Linotype" w:cs="Times New Roman"/>
          <w:lang w:val="en-US"/>
        </w:rPr>
        <w:t>Indonesia</w:t>
      </w:r>
    </w:p>
    <w:p w14:paraId="1BB8994F" w14:textId="57A98798" w:rsidR="00652DBA" w:rsidRPr="00E2299B" w:rsidRDefault="00652DBA" w:rsidP="00E2299B">
      <w:pPr>
        <w:spacing w:after="0" w:line="240" w:lineRule="auto"/>
        <w:jc w:val="center"/>
        <w:rPr>
          <w:rFonts w:ascii="Palatino Linotype" w:hAnsi="Palatino Linotype" w:cs="Times New Roman"/>
        </w:rPr>
      </w:pPr>
      <w:r w:rsidRPr="00E2299B">
        <w:rPr>
          <w:rFonts w:ascii="Palatino Linotype" w:hAnsi="Palatino Linotype" w:cs="Times New Roman"/>
          <w:lang w:val="en-US"/>
        </w:rPr>
        <w:t xml:space="preserve">*e-mail: </w:t>
      </w:r>
      <w:hyperlink r:id="rId8" w:history="1">
        <w:r w:rsidR="00F657B1" w:rsidRPr="00E2299B">
          <w:rPr>
            <w:rStyle w:val="Hyperlink"/>
            <w:rFonts w:ascii="Palatino Linotype" w:hAnsi="Palatino Linotype" w:cs="Times New Roman"/>
          </w:rPr>
          <w:t>mesakivanjunius@gmail.com</w:t>
        </w:r>
      </w:hyperlink>
      <w:r w:rsidR="00F657B1" w:rsidRPr="00E2299B">
        <w:rPr>
          <w:rFonts w:ascii="Palatino Linotype" w:hAnsi="Palatino Linotype" w:cs="Times New Roman"/>
        </w:rPr>
        <w:t xml:space="preserve"> </w:t>
      </w:r>
    </w:p>
    <w:p w14:paraId="13DE2BFE" w14:textId="77777777" w:rsidR="00652DBA" w:rsidRPr="00E2299B" w:rsidRDefault="00652DBA" w:rsidP="00E2299B">
      <w:pPr>
        <w:spacing w:after="0" w:line="240" w:lineRule="auto"/>
        <w:jc w:val="center"/>
        <w:rPr>
          <w:rFonts w:ascii="Palatino Linotype" w:hAnsi="Palatino Linotype" w:cs="Times New Roman"/>
          <w:b/>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4"/>
        <w:gridCol w:w="5811"/>
      </w:tblGrid>
      <w:tr w:rsidR="00652DBA" w:rsidRPr="00E2299B" w14:paraId="58C6B988" w14:textId="77777777" w:rsidTr="006A44FB">
        <w:trPr>
          <w:trHeight w:val="269"/>
        </w:trPr>
        <w:tc>
          <w:tcPr>
            <w:tcW w:w="3544" w:type="dxa"/>
            <w:tcBorders>
              <w:top w:val="single" w:sz="4" w:space="0" w:color="auto"/>
              <w:bottom w:val="single" w:sz="4" w:space="0" w:color="auto"/>
            </w:tcBorders>
            <w:shd w:val="clear" w:color="auto" w:fill="E7E6E6" w:themeFill="background2"/>
            <w:vAlign w:val="center"/>
          </w:tcPr>
          <w:p w14:paraId="4D4A5CE7" w14:textId="77777777" w:rsidR="00652DBA" w:rsidRPr="00E2299B" w:rsidRDefault="00652DBA" w:rsidP="00E2299B">
            <w:pPr>
              <w:spacing w:after="0" w:line="240" w:lineRule="auto"/>
              <w:jc w:val="center"/>
              <w:rPr>
                <w:rFonts w:ascii="Palatino Linotype" w:hAnsi="Palatino Linotype" w:cs="Times New Roman"/>
                <w:b/>
                <w:bCs/>
                <w:lang w:val="en-US"/>
              </w:rPr>
            </w:pPr>
            <w:r w:rsidRPr="00E2299B">
              <w:rPr>
                <w:rFonts w:ascii="Palatino Linotype" w:hAnsi="Palatino Linotype" w:cs="Times New Roman"/>
                <w:b/>
                <w:bCs/>
              </w:rPr>
              <w:t>Article Information</w:t>
            </w:r>
          </w:p>
        </w:tc>
        <w:tc>
          <w:tcPr>
            <w:tcW w:w="284" w:type="dxa"/>
            <w:shd w:val="clear" w:color="auto" w:fill="auto"/>
          </w:tcPr>
          <w:p w14:paraId="38DAFB83" w14:textId="77777777" w:rsidR="00652DBA" w:rsidRPr="00E2299B" w:rsidRDefault="00652DBA" w:rsidP="00E2299B">
            <w:pPr>
              <w:spacing w:after="0" w:line="240" w:lineRule="auto"/>
              <w:jc w:val="center"/>
              <w:rPr>
                <w:rFonts w:ascii="Palatino Linotype" w:hAnsi="Palatino Linotype" w:cs="Times New Roman"/>
                <w:b/>
                <w:bCs/>
              </w:rPr>
            </w:pPr>
          </w:p>
        </w:tc>
        <w:tc>
          <w:tcPr>
            <w:tcW w:w="5811" w:type="dxa"/>
            <w:tcBorders>
              <w:top w:val="single" w:sz="4" w:space="0" w:color="auto"/>
            </w:tcBorders>
            <w:shd w:val="clear" w:color="auto" w:fill="E7E6E6" w:themeFill="background2"/>
            <w:vAlign w:val="center"/>
          </w:tcPr>
          <w:p w14:paraId="43EF9227" w14:textId="77777777" w:rsidR="00652DBA" w:rsidRPr="00E2299B" w:rsidRDefault="00652DBA" w:rsidP="00E2299B">
            <w:pPr>
              <w:spacing w:after="0" w:line="240" w:lineRule="auto"/>
              <w:jc w:val="center"/>
              <w:rPr>
                <w:rFonts w:ascii="Palatino Linotype" w:hAnsi="Palatino Linotype" w:cs="Times New Roman"/>
                <w:b/>
                <w:bCs/>
              </w:rPr>
            </w:pPr>
            <w:r w:rsidRPr="00E2299B">
              <w:rPr>
                <w:rFonts w:ascii="Palatino Linotype" w:hAnsi="Palatino Linotype" w:cs="Times New Roman"/>
                <w:b/>
                <w:bCs/>
              </w:rPr>
              <w:t>ABSTRACT</w:t>
            </w:r>
          </w:p>
        </w:tc>
      </w:tr>
      <w:tr w:rsidR="00652DBA" w:rsidRPr="00E2299B" w14:paraId="0D7DA3ED" w14:textId="77777777" w:rsidTr="006A44FB">
        <w:tc>
          <w:tcPr>
            <w:tcW w:w="3544" w:type="dxa"/>
            <w:tcBorders>
              <w:top w:val="single" w:sz="4" w:space="0" w:color="auto"/>
              <w:bottom w:val="single" w:sz="4" w:space="0" w:color="auto"/>
            </w:tcBorders>
          </w:tcPr>
          <w:p w14:paraId="51D15786" w14:textId="2C0642BF" w:rsidR="00652DBA" w:rsidRPr="00E2299B" w:rsidRDefault="00652DBA" w:rsidP="00E2299B">
            <w:pPr>
              <w:spacing w:after="0" w:line="240" w:lineRule="auto"/>
              <w:rPr>
                <w:rFonts w:ascii="Palatino Linotype" w:hAnsi="Palatino Linotype"/>
                <w:lang w:val="en-ID"/>
              </w:rPr>
            </w:pPr>
            <w:r w:rsidRPr="00E2299B">
              <w:rPr>
                <w:rFonts w:ascii="Palatino Linotype" w:hAnsi="Palatino Linotype"/>
              </w:rPr>
              <w:t xml:space="preserve">Received: </w:t>
            </w:r>
            <w:r w:rsidR="00A91558" w:rsidRPr="00E2299B">
              <w:rPr>
                <w:rFonts w:ascii="Palatino Linotype" w:hAnsi="Palatino Linotype"/>
                <w:lang w:val="en-US"/>
              </w:rPr>
              <w:t>November 04, 2024</w:t>
            </w:r>
          </w:p>
          <w:p w14:paraId="671787A5" w14:textId="63B9925E" w:rsidR="00652DBA" w:rsidRPr="00E2299B" w:rsidRDefault="00652DBA" w:rsidP="00E2299B">
            <w:pPr>
              <w:spacing w:after="0" w:line="240" w:lineRule="auto"/>
              <w:rPr>
                <w:rFonts w:ascii="Palatino Linotype" w:hAnsi="Palatino Linotype"/>
              </w:rPr>
            </w:pPr>
            <w:r w:rsidRPr="00E2299B">
              <w:rPr>
                <w:rFonts w:ascii="Palatino Linotype" w:hAnsi="Palatino Linotype"/>
              </w:rPr>
              <w:t xml:space="preserve">Revised: </w:t>
            </w:r>
            <w:r w:rsidR="00A91558" w:rsidRPr="00E2299B">
              <w:rPr>
                <w:rFonts w:ascii="Palatino Linotype" w:hAnsi="Palatino Linotype"/>
                <w:lang w:val="en-US"/>
              </w:rPr>
              <w:t>November 08, 2024</w:t>
            </w:r>
          </w:p>
          <w:p w14:paraId="0CBBA83A" w14:textId="28B9F9BA" w:rsidR="00652DBA" w:rsidRPr="00E2299B" w:rsidRDefault="00652DBA" w:rsidP="00E2299B">
            <w:pPr>
              <w:spacing w:after="0" w:line="240" w:lineRule="auto"/>
              <w:jc w:val="both"/>
              <w:rPr>
                <w:rFonts w:ascii="Palatino Linotype" w:hAnsi="Palatino Linotype"/>
                <w:lang w:val="en-ID"/>
              </w:rPr>
            </w:pPr>
            <w:r w:rsidRPr="00E2299B">
              <w:rPr>
                <w:rFonts w:ascii="Palatino Linotype" w:hAnsi="Palatino Linotype"/>
              </w:rPr>
              <w:t xml:space="preserve">Online: </w:t>
            </w:r>
            <w:r w:rsidR="00A91558" w:rsidRPr="00E2299B">
              <w:rPr>
                <w:rFonts w:ascii="Palatino Linotype" w:hAnsi="Palatino Linotype"/>
                <w:lang w:val="en-US"/>
              </w:rPr>
              <w:t>November 17, 2024</w:t>
            </w:r>
          </w:p>
          <w:p w14:paraId="66BCD727" w14:textId="77777777" w:rsidR="00652DBA" w:rsidRPr="00E2299B" w:rsidRDefault="00652DBA" w:rsidP="00E2299B">
            <w:pPr>
              <w:spacing w:after="0" w:line="240" w:lineRule="auto"/>
              <w:jc w:val="both"/>
              <w:rPr>
                <w:rFonts w:ascii="Palatino Linotype" w:hAnsi="Palatino Linotype" w:cs="Times New Roman"/>
                <w:b/>
                <w:lang w:val="en-ID"/>
              </w:rPr>
            </w:pPr>
          </w:p>
        </w:tc>
        <w:tc>
          <w:tcPr>
            <w:tcW w:w="284" w:type="dxa"/>
            <w:shd w:val="clear" w:color="auto" w:fill="auto"/>
          </w:tcPr>
          <w:p w14:paraId="7596DB17" w14:textId="77777777" w:rsidR="00652DBA" w:rsidRPr="00E2299B" w:rsidRDefault="00652DBA" w:rsidP="00E2299B">
            <w:pPr>
              <w:spacing w:after="0" w:line="240" w:lineRule="auto"/>
              <w:jc w:val="both"/>
              <w:rPr>
                <w:rFonts w:ascii="Palatino Linotype" w:hAnsi="Palatino Linotype" w:cs="Times New Roman"/>
                <w:i/>
                <w:iCs/>
                <w:lang w:val="en-US"/>
              </w:rPr>
            </w:pPr>
          </w:p>
        </w:tc>
        <w:tc>
          <w:tcPr>
            <w:tcW w:w="5811" w:type="dxa"/>
            <w:vMerge w:val="restart"/>
          </w:tcPr>
          <w:p w14:paraId="6EFF7280" w14:textId="2CB8A946" w:rsidR="00652DBA" w:rsidRPr="00E2299B" w:rsidRDefault="00652DBA" w:rsidP="00E2299B">
            <w:pPr>
              <w:spacing w:after="0" w:line="240" w:lineRule="auto"/>
              <w:jc w:val="both"/>
              <w:textAlignment w:val="baseline"/>
              <w:rPr>
                <w:rFonts w:ascii="Palatino Linotype" w:hAnsi="Palatino Linotype" w:cs="Times New Roman"/>
                <w:i/>
                <w:iCs/>
                <w:color w:val="0D0D0D"/>
                <w:shd w:val="clear" w:color="auto" w:fill="FFFFFF"/>
              </w:rPr>
            </w:pPr>
            <w:r w:rsidRPr="00E2299B">
              <w:rPr>
                <w:rFonts w:ascii="Palatino Linotype" w:hAnsi="Palatino Linotype" w:cs="Times New Roman"/>
                <w:i/>
                <w:iCs/>
                <w:color w:val="0D0D0D"/>
                <w:shd w:val="clear" w:color="auto" w:fill="FFFFFF"/>
                <w:lang w:val="en-US"/>
              </w:rPr>
              <w:t xml:space="preserve">The global pharmaceutical industry is constantly looking for new resources that can be used to develop bioactive ingredients to produce more effective and innovative medicines. One resource that has attracted the attention of researchers is marine microorganisms (UGM, 2017; </w:t>
            </w:r>
            <w:proofErr w:type="spellStart"/>
            <w:r w:rsidRPr="00E2299B">
              <w:rPr>
                <w:rFonts w:ascii="Palatino Linotype" w:hAnsi="Palatino Linotype" w:cs="Times New Roman"/>
                <w:i/>
                <w:iCs/>
                <w:color w:val="0D0D0D"/>
                <w:shd w:val="clear" w:color="auto" w:fill="FFFFFF"/>
                <w:lang w:val="en-US"/>
              </w:rPr>
              <w:t>Wiganti</w:t>
            </w:r>
            <w:proofErr w:type="spellEnd"/>
            <w:r w:rsidRPr="00E2299B">
              <w:rPr>
                <w:rFonts w:ascii="Palatino Linotype" w:hAnsi="Palatino Linotype" w:cs="Times New Roman"/>
                <w:i/>
                <w:iCs/>
                <w:color w:val="0D0D0D"/>
                <w:shd w:val="clear" w:color="auto" w:fill="FFFFFF"/>
                <w:lang w:val="en-US"/>
              </w:rPr>
              <w:t>, 2022). The ocean, which covers more than 70% of the Earth's surface, is an ecosystem rich in biodiversity, including microorganisms that are unique and rarely found in terrestrial environments</w:t>
            </w:r>
            <w:r w:rsidRPr="00E2299B">
              <w:rPr>
                <w:rFonts w:ascii="Palatino Linotype" w:hAnsi="Palatino Linotype" w:cs="Times New Roman"/>
                <w:i/>
                <w:iCs/>
                <w:color w:val="0D0D0D"/>
                <w:shd w:val="clear" w:color="auto" w:fill="FFFFFF"/>
              </w:rPr>
              <w:t>. This research aims to explore and identify marine microorganisms that have potential in the production of bioactive materials for pharmaceutical applications.</w:t>
            </w:r>
            <w:r w:rsidR="00F657B1" w:rsidRPr="00E2299B">
              <w:rPr>
                <w:rFonts w:ascii="Palatino Linotype" w:hAnsi="Palatino Linotype" w:cs="Times New Roman"/>
                <w:i/>
                <w:iCs/>
                <w:color w:val="0D0D0D"/>
                <w:shd w:val="clear" w:color="auto" w:fill="FFFFFF"/>
              </w:rPr>
              <w:t xml:space="preserve"> </w:t>
            </w:r>
            <w:r w:rsidRPr="00E2299B">
              <w:rPr>
                <w:rFonts w:ascii="Palatino Linotype" w:hAnsi="Palatino Linotype" w:cs="Times New Roman"/>
                <w:i/>
                <w:iCs/>
                <w:color w:val="0D0D0D"/>
                <w:shd w:val="clear" w:color="auto" w:fill="FFFFFF"/>
              </w:rPr>
              <w:t>Based on the results of this study, only Extract I showed significant inhibition against Staphylococcus aureus, while Extract II had almost no inhibition. Table 2 shows the results of the study indicating that the inhibition of seaweed extracts was absent. Gracillaria sp. seaweed extracts evaporated through a rotary vacuum evaporator and seaweed extracts evaporated through an oven had no inhibition.</w:t>
            </w:r>
            <w:r w:rsidR="00F657B1" w:rsidRPr="00E2299B">
              <w:rPr>
                <w:rFonts w:ascii="Palatino Linotype" w:hAnsi="Palatino Linotype" w:cs="Times New Roman"/>
                <w:i/>
                <w:iCs/>
                <w:color w:val="0D0D0D"/>
                <w:shd w:val="clear" w:color="auto" w:fill="FFFFFF"/>
              </w:rPr>
              <w:t xml:space="preserve"> </w:t>
            </w:r>
            <w:r w:rsidRPr="00E2299B">
              <w:rPr>
                <w:rFonts w:ascii="Palatino Linotype" w:hAnsi="Palatino Linotype" w:cs="Times New Roman"/>
                <w:i/>
                <w:iCs/>
                <w:color w:val="0D0D0D"/>
                <w:shd w:val="clear" w:color="auto" w:fill="FFFFFF"/>
              </w:rPr>
              <w:t xml:space="preserve">This study showed that bioactive compounds prepared through extraction using vacuum evaporator had greater inhibition of Staphylococcus aureus. This suggests that marine microorganisms can be a source of bioactive ingredients for the pharmaceutical industry. </w:t>
            </w:r>
          </w:p>
          <w:p w14:paraId="58D878A2" w14:textId="77777777" w:rsidR="00652DBA" w:rsidRPr="00E2299B" w:rsidRDefault="00652DBA" w:rsidP="00E2299B">
            <w:pPr>
              <w:spacing w:after="0" w:line="240" w:lineRule="auto"/>
              <w:jc w:val="both"/>
              <w:textAlignment w:val="baseline"/>
              <w:rPr>
                <w:rFonts w:ascii="Palatino Linotype" w:eastAsia="Times New Roman" w:hAnsi="Palatino Linotype" w:cs="Times New Roman"/>
                <w:i/>
                <w:iCs/>
                <w:color w:val="222222"/>
                <w:lang w:val="en-US"/>
              </w:rPr>
            </w:pPr>
          </w:p>
          <w:p w14:paraId="0398BA7E" w14:textId="77777777" w:rsidR="00652DBA" w:rsidRPr="00E2299B" w:rsidRDefault="00652DBA" w:rsidP="00E2299B">
            <w:pPr>
              <w:pStyle w:val="NormalWeb"/>
              <w:spacing w:before="0" w:beforeAutospacing="0" w:after="0" w:afterAutospacing="0"/>
              <w:jc w:val="both"/>
              <w:textAlignment w:val="baseline"/>
              <w:rPr>
                <w:rFonts w:ascii="Palatino Linotype" w:hAnsi="Palatino Linotype"/>
                <w:i/>
                <w:iCs/>
                <w:color w:val="0D0D0D"/>
                <w:sz w:val="22"/>
                <w:szCs w:val="22"/>
                <w:shd w:val="clear" w:color="auto" w:fill="FFFFFF"/>
                <w:lang w:val="id-ID"/>
              </w:rPr>
            </w:pPr>
            <w:r w:rsidRPr="00E2299B">
              <w:rPr>
                <w:rStyle w:val="Strong"/>
                <w:rFonts w:ascii="Palatino Linotype" w:hAnsi="Palatino Linotype"/>
                <w:i/>
                <w:iCs/>
                <w:color w:val="222222"/>
                <w:sz w:val="22"/>
                <w:szCs w:val="22"/>
                <w:bdr w:val="none" w:sz="0" w:space="0" w:color="auto" w:frame="1"/>
                <w:lang w:val="id-ID"/>
              </w:rPr>
              <w:t xml:space="preserve">Keywords: </w:t>
            </w:r>
            <w:r w:rsidRPr="00E2299B">
              <w:rPr>
                <w:rFonts w:ascii="Palatino Linotype" w:hAnsi="Palatino Linotype"/>
                <w:i/>
                <w:iCs/>
                <w:color w:val="0D0D0D"/>
                <w:sz w:val="22"/>
                <w:szCs w:val="22"/>
                <w:shd w:val="clear" w:color="auto" w:fill="FFFFFF"/>
              </w:rPr>
              <w:t xml:space="preserve">Marine Microorganisms, </w:t>
            </w:r>
            <w:proofErr w:type="spellStart"/>
            <w:r w:rsidRPr="00E2299B">
              <w:rPr>
                <w:rFonts w:ascii="Palatino Linotype" w:hAnsi="Palatino Linotype"/>
                <w:i/>
                <w:iCs/>
                <w:color w:val="0D0D0D"/>
                <w:sz w:val="22"/>
                <w:szCs w:val="22"/>
                <w:shd w:val="clear" w:color="auto" w:fill="FFFFFF"/>
              </w:rPr>
              <w:t>Bioactives</w:t>
            </w:r>
            <w:proofErr w:type="spellEnd"/>
            <w:r w:rsidRPr="00E2299B">
              <w:rPr>
                <w:rFonts w:ascii="Palatino Linotype" w:hAnsi="Palatino Linotype"/>
                <w:i/>
                <w:iCs/>
                <w:color w:val="0D0D0D"/>
                <w:sz w:val="22"/>
                <w:szCs w:val="22"/>
                <w:shd w:val="clear" w:color="auto" w:fill="FFFFFF"/>
              </w:rPr>
              <w:t>, Pharmaceutical Industry</w:t>
            </w:r>
          </w:p>
          <w:p w14:paraId="00C12A3A" w14:textId="77777777" w:rsidR="00652DBA" w:rsidRPr="00E2299B" w:rsidRDefault="00652DBA" w:rsidP="00E2299B">
            <w:pPr>
              <w:pStyle w:val="NormalWeb"/>
              <w:spacing w:before="0" w:beforeAutospacing="0" w:after="0" w:afterAutospacing="0"/>
              <w:jc w:val="both"/>
              <w:textAlignment w:val="baseline"/>
              <w:rPr>
                <w:rFonts w:ascii="Palatino Linotype" w:hAnsi="Palatino Linotype"/>
                <w:i/>
                <w:iCs/>
                <w:color w:val="222222"/>
                <w:sz w:val="22"/>
                <w:szCs w:val="22"/>
              </w:rPr>
            </w:pPr>
          </w:p>
        </w:tc>
      </w:tr>
      <w:tr w:rsidR="00652DBA" w:rsidRPr="00E2299B" w14:paraId="20A6A74D" w14:textId="77777777" w:rsidTr="006A44FB">
        <w:tc>
          <w:tcPr>
            <w:tcW w:w="3544" w:type="dxa"/>
            <w:tcBorders>
              <w:top w:val="single" w:sz="4" w:space="0" w:color="auto"/>
              <w:bottom w:val="single" w:sz="4" w:space="0" w:color="auto"/>
            </w:tcBorders>
            <w:shd w:val="clear" w:color="auto" w:fill="E7E6E6" w:themeFill="background2"/>
          </w:tcPr>
          <w:p w14:paraId="28067F10" w14:textId="77777777" w:rsidR="00652DBA" w:rsidRPr="00E2299B" w:rsidRDefault="00652DBA" w:rsidP="00E2299B">
            <w:pPr>
              <w:spacing w:after="0"/>
              <w:jc w:val="center"/>
              <w:rPr>
                <w:rFonts w:ascii="Palatino Linotype" w:hAnsi="Palatino Linotype" w:cs="Times New Roman"/>
                <w:b/>
                <w:lang w:val="en-ID"/>
              </w:rPr>
            </w:pPr>
            <w:r w:rsidRPr="00E2299B">
              <w:rPr>
                <w:rFonts w:ascii="Palatino Linotype" w:hAnsi="Palatino Linotype" w:cs="Times New Roman"/>
                <w:b/>
              </w:rPr>
              <w:t>Keywords</w:t>
            </w:r>
          </w:p>
        </w:tc>
        <w:tc>
          <w:tcPr>
            <w:tcW w:w="284" w:type="dxa"/>
          </w:tcPr>
          <w:p w14:paraId="1C453E20" w14:textId="77777777" w:rsidR="00652DBA" w:rsidRPr="00E2299B" w:rsidRDefault="00652DBA" w:rsidP="00E2299B">
            <w:pPr>
              <w:spacing w:after="0"/>
              <w:jc w:val="center"/>
              <w:rPr>
                <w:rFonts w:ascii="Palatino Linotype" w:hAnsi="Palatino Linotype" w:cs="Times New Roman"/>
                <w:b/>
                <w:lang w:val="en-ID"/>
              </w:rPr>
            </w:pPr>
          </w:p>
        </w:tc>
        <w:tc>
          <w:tcPr>
            <w:tcW w:w="5811" w:type="dxa"/>
            <w:vMerge/>
          </w:tcPr>
          <w:p w14:paraId="276D2163" w14:textId="77777777" w:rsidR="00652DBA" w:rsidRPr="00E2299B" w:rsidRDefault="00652DBA" w:rsidP="00E2299B">
            <w:pPr>
              <w:spacing w:after="0"/>
              <w:jc w:val="center"/>
              <w:rPr>
                <w:rFonts w:ascii="Palatino Linotype" w:hAnsi="Palatino Linotype" w:cs="Times New Roman"/>
                <w:b/>
                <w:lang w:val="en-ID"/>
              </w:rPr>
            </w:pPr>
          </w:p>
        </w:tc>
      </w:tr>
      <w:tr w:rsidR="00652DBA" w:rsidRPr="00E2299B" w14:paraId="41806F4B" w14:textId="77777777" w:rsidTr="006A44FB">
        <w:tc>
          <w:tcPr>
            <w:tcW w:w="3544" w:type="dxa"/>
            <w:tcBorders>
              <w:top w:val="single" w:sz="4" w:space="0" w:color="auto"/>
            </w:tcBorders>
          </w:tcPr>
          <w:p w14:paraId="346CE604" w14:textId="77777777" w:rsidR="00652DBA" w:rsidRPr="00E2299B" w:rsidRDefault="00652DBA" w:rsidP="00E2299B">
            <w:pPr>
              <w:spacing w:after="0"/>
              <w:jc w:val="both"/>
              <w:rPr>
                <w:rFonts w:ascii="Palatino Linotype" w:hAnsi="Palatino Linotype" w:cs="Times New Roman"/>
                <w:b/>
                <w:lang w:val="en-ID"/>
              </w:rPr>
            </w:pPr>
            <w:r w:rsidRPr="00E2299B">
              <w:rPr>
                <w:rFonts w:ascii="Palatino Linotype" w:hAnsi="Palatino Linotype" w:cs="Times New Roman"/>
                <w:i/>
              </w:rPr>
              <w:t>Marine Microorganisms, Bioactives, Pharmaceutical Industry</w:t>
            </w:r>
          </w:p>
        </w:tc>
        <w:tc>
          <w:tcPr>
            <w:tcW w:w="284" w:type="dxa"/>
          </w:tcPr>
          <w:p w14:paraId="50C0E9A7" w14:textId="77777777" w:rsidR="00652DBA" w:rsidRPr="00E2299B" w:rsidRDefault="00652DBA" w:rsidP="00E2299B">
            <w:pPr>
              <w:spacing w:after="0"/>
              <w:jc w:val="center"/>
              <w:rPr>
                <w:rFonts w:ascii="Palatino Linotype" w:hAnsi="Palatino Linotype" w:cs="Times New Roman"/>
                <w:b/>
                <w:lang w:val="en-ID"/>
              </w:rPr>
            </w:pPr>
          </w:p>
        </w:tc>
        <w:tc>
          <w:tcPr>
            <w:tcW w:w="5811" w:type="dxa"/>
            <w:vMerge/>
          </w:tcPr>
          <w:p w14:paraId="13D084B9" w14:textId="77777777" w:rsidR="00652DBA" w:rsidRPr="00E2299B" w:rsidRDefault="00652DBA" w:rsidP="00E2299B">
            <w:pPr>
              <w:spacing w:after="0"/>
              <w:jc w:val="center"/>
              <w:rPr>
                <w:rFonts w:ascii="Palatino Linotype" w:hAnsi="Palatino Linotype" w:cs="Times New Roman"/>
                <w:b/>
                <w:lang w:val="en-ID"/>
              </w:rPr>
            </w:pPr>
          </w:p>
        </w:tc>
      </w:tr>
    </w:tbl>
    <w:p w14:paraId="773A7206" w14:textId="77777777" w:rsidR="00652DBA" w:rsidRPr="00E2299B" w:rsidRDefault="00652DBA" w:rsidP="00E2299B">
      <w:pPr>
        <w:pBdr>
          <w:top w:val="single" w:sz="4" w:space="1" w:color="auto"/>
        </w:pBdr>
        <w:spacing w:after="0"/>
        <w:jc w:val="center"/>
        <w:rPr>
          <w:rFonts w:ascii="Palatino Linotype" w:hAnsi="Palatino Linotype" w:cs="Times New Roman"/>
          <w:b/>
          <w:lang w:val="en-ID"/>
        </w:rPr>
      </w:pPr>
    </w:p>
    <w:p w14:paraId="66A2FAA3" w14:textId="77777777" w:rsidR="00A91558" w:rsidRPr="00E2299B" w:rsidRDefault="00A91558" w:rsidP="00E2299B">
      <w:pPr>
        <w:spacing w:after="0"/>
        <w:jc w:val="both"/>
        <w:rPr>
          <w:rFonts w:ascii="Palatino Linotype" w:hAnsi="Palatino Linotype" w:cs="Times New Roman"/>
          <w:b/>
          <w:lang w:val="en-US"/>
        </w:rPr>
      </w:pPr>
    </w:p>
    <w:p w14:paraId="70FF04FC" w14:textId="77777777" w:rsidR="00A91558" w:rsidRPr="00E2299B" w:rsidRDefault="00A91558" w:rsidP="00E2299B">
      <w:pPr>
        <w:spacing w:after="0"/>
        <w:jc w:val="both"/>
        <w:rPr>
          <w:rFonts w:ascii="Palatino Linotype" w:hAnsi="Palatino Linotype" w:cs="Times New Roman"/>
          <w:b/>
          <w:lang w:val="en-US"/>
        </w:rPr>
      </w:pPr>
    </w:p>
    <w:p w14:paraId="7E4D82D8" w14:textId="77777777" w:rsidR="00A91558" w:rsidRPr="00E2299B" w:rsidRDefault="00A91558" w:rsidP="00E2299B">
      <w:pPr>
        <w:spacing w:after="0"/>
        <w:jc w:val="both"/>
        <w:rPr>
          <w:rFonts w:ascii="Palatino Linotype" w:hAnsi="Palatino Linotype" w:cs="Times New Roman"/>
          <w:b/>
          <w:lang w:val="en-US"/>
        </w:rPr>
      </w:pPr>
    </w:p>
    <w:p w14:paraId="164B9FAE" w14:textId="77777777" w:rsidR="00A91558" w:rsidRPr="00E2299B" w:rsidRDefault="00A91558" w:rsidP="00E2299B">
      <w:pPr>
        <w:spacing w:after="0"/>
        <w:jc w:val="both"/>
        <w:rPr>
          <w:rFonts w:ascii="Palatino Linotype" w:hAnsi="Palatino Linotype" w:cs="Times New Roman"/>
          <w:b/>
          <w:lang w:val="en-US"/>
        </w:rPr>
      </w:pPr>
    </w:p>
    <w:p w14:paraId="31C2A6D5" w14:textId="77777777" w:rsidR="00A91558" w:rsidRPr="00E2299B" w:rsidRDefault="00A91558" w:rsidP="00E2299B">
      <w:pPr>
        <w:spacing w:after="0"/>
        <w:jc w:val="both"/>
        <w:rPr>
          <w:rFonts w:ascii="Palatino Linotype" w:hAnsi="Palatino Linotype" w:cs="Times New Roman"/>
          <w:b/>
          <w:lang w:val="en-US"/>
        </w:rPr>
      </w:pPr>
    </w:p>
    <w:p w14:paraId="3F4CA4C7" w14:textId="77777777" w:rsidR="00A91558" w:rsidRPr="00E2299B" w:rsidRDefault="00A91558" w:rsidP="00E2299B">
      <w:pPr>
        <w:spacing w:after="0"/>
        <w:jc w:val="both"/>
        <w:rPr>
          <w:rFonts w:ascii="Palatino Linotype" w:hAnsi="Palatino Linotype" w:cs="Times New Roman"/>
          <w:b/>
          <w:lang w:val="en-US"/>
        </w:rPr>
      </w:pPr>
    </w:p>
    <w:p w14:paraId="183551F5" w14:textId="13870EBA" w:rsidR="00652DBA" w:rsidRPr="00E2299B" w:rsidRDefault="00652DBA" w:rsidP="00E2299B">
      <w:pPr>
        <w:spacing w:after="0"/>
        <w:jc w:val="both"/>
        <w:rPr>
          <w:rFonts w:ascii="Palatino Linotype" w:hAnsi="Palatino Linotype" w:cs="Times New Roman"/>
          <w:lang w:val="en-US"/>
        </w:rPr>
      </w:pPr>
      <w:r w:rsidRPr="00E2299B">
        <w:rPr>
          <w:rFonts w:ascii="Palatino Linotype" w:hAnsi="Palatino Linotype" w:cs="Times New Roman"/>
          <w:b/>
          <w:lang w:val="en-US"/>
        </w:rPr>
        <w:lastRenderedPageBreak/>
        <w:t>INTRODUCTION</w:t>
      </w:r>
    </w:p>
    <w:p w14:paraId="5095EE8F" w14:textId="77777777" w:rsidR="00652DBA" w:rsidRPr="00E2299B" w:rsidRDefault="00652DBA" w:rsidP="00E2299B">
      <w:pPr>
        <w:spacing w:after="0"/>
        <w:ind w:firstLine="720"/>
        <w:jc w:val="both"/>
        <w:rPr>
          <w:rFonts w:ascii="Palatino Linotype" w:hAnsi="Palatino Linotype" w:cs="Times New Roman"/>
          <w:color w:val="0D0D0D"/>
          <w:shd w:val="clear" w:color="auto" w:fill="FFFFFF"/>
        </w:rPr>
      </w:pPr>
      <w:r w:rsidRPr="00E2299B">
        <w:rPr>
          <w:rFonts w:ascii="Palatino Linotype" w:hAnsi="Palatino Linotype" w:cs="Times New Roman"/>
          <w:color w:val="0D0D0D"/>
          <w:shd w:val="clear" w:color="auto" w:fill="FFFFFF"/>
        </w:rPr>
        <w:t>The global pharmaceutical industry is constantly looking for new resources that can be used to develop bioactive ingredients to produce more effective and innovative medicines. One resource that has attracted the attention of researchers is marine microorganisms (UGM, 2017; Wiganti, 2022). The ocean, which covers more than 70% of the Earth's surface, is an ecosystem rich in biodiversity, including microorganisms that are unique and rarely found in terrestrial environments. Marine microorganisms such as bacteria, fungi, and microalgae have been known to have the ability to produce bioactive compounds with various pharmacological benefits, such as antimicrobial, anticancer, antioxidant, and anti-inflammatory properties (Sharma et al., 2021).</w:t>
      </w:r>
    </w:p>
    <w:p w14:paraId="22EDB386" w14:textId="77777777" w:rsidR="00652DBA" w:rsidRPr="00E2299B" w:rsidRDefault="00652DBA" w:rsidP="00E2299B">
      <w:pPr>
        <w:spacing w:after="0"/>
        <w:ind w:firstLine="720"/>
        <w:jc w:val="both"/>
        <w:rPr>
          <w:rFonts w:ascii="Palatino Linotype" w:hAnsi="Palatino Linotype" w:cs="Times New Roman"/>
          <w:color w:val="0D0D0D"/>
          <w:shd w:val="clear" w:color="auto" w:fill="FFFFFF"/>
        </w:rPr>
      </w:pPr>
      <w:r w:rsidRPr="00E2299B">
        <w:rPr>
          <w:rFonts w:ascii="Palatino Linotype" w:hAnsi="Palatino Linotype" w:cs="Times New Roman"/>
          <w:color w:val="0D0D0D"/>
          <w:shd w:val="clear" w:color="auto" w:fill="FFFFFF"/>
        </w:rPr>
        <w:t>Over the past few decades, many bioactive compounds from marine microorganisms have been isolated and developed into pharmaceutical products. For example, the compound Salinosporamide A produced by the marine bacterium Salinispora tropica has shown potential as an anticancer agent and is in clinical trials (Flora &amp; Singkoh, 2011; Channel et al., 2016) (Feling et al., 2003). In addition, marine microorganisms also play an important role in overcoming antibiotic resistance, one of the biggest challenges in today's medical world, by producing novel compounds capable of fighting pathogenic infections that are resistant to conventional antibiotics (Kusmarwati et al., 2017) (Newman &amp; Cragg, 2020).</w:t>
      </w:r>
    </w:p>
    <w:p w14:paraId="140CF1C6" w14:textId="77777777" w:rsidR="00652DBA" w:rsidRPr="00E2299B" w:rsidRDefault="00652DBA" w:rsidP="00E2299B">
      <w:pPr>
        <w:spacing w:after="0"/>
        <w:ind w:firstLine="720"/>
        <w:jc w:val="both"/>
        <w:rPr>
          <w:rFonts w:ascii="Palatino Linotype" w:hAnsi="Palatino Linotype" w:cs="Times New Roman"/>
          <w:color w:val="0D0D0D"/>
          <w:shd w:val="clear" w:color="auto" w:fill="FFFFFF"/>
        </w:rPr>
      </w:pPr>
      <w:r w:rsidRPr="00E2299B">
        <w:rPr>
          <w:rFonts w:ascii="Palatino Linotype" w:hAnsi="Palatino Linotype" w:cs="Times New Roman"/>
          <w:color w:val="0D0D0D"/>
          <w:shd w:val="clear" w:color="auto" w:fill="FFFFFF"/>
        </w:rPr>
        <w:t>Data from the Global Marine Pharmaceuticals Market Report (2022) shows that the marine-based pharmaceutical industry is expected to reach a market value of USD 6.4 billion by 2030, with an annual growth rate of 9.4% from 2022 to 2030 (Heghe &amp; Sirois, 2023; Jha, 2023). This growth indicates the great economic potential in utilising marine microorganisms to produce bioactive materials that can be commercialised. Countries with advanced marine biotechnology research such as the United States, Japan, and some European countries, have invested heavily in the exploration of the pharmaceutical potential of marine resources, especially microorganisms (Julyasih, 2022).</w:t>
      </w:r>
    </w:p>
    <w:p w14:paraId="4FA40774" w14:textId="77777777" w:rsidR="00652DBA" w:rsidRPr="00E2299B" w:rsidRDefault="00652DBA" w:rsidP="00E2299B">
      <w:pPr>
        <w:spacing w:after="0"/>
        <w:ind w:firstLine="720"/>
        <w:jc w:val="both"/>
        <w:rPr>
          <w:rFonts w:ascii="Palatino Linotype" w:hAnsi="Palatino Linotype" w:cs="Times New Roman"/>
          <w:color w:val="0D0D0D"/>
          <w:shd w:val="clear" w:color="auto" w:fill="FFFFFF"/>
        </w:rPr>
      </w:pPr>
      <w:r w:rsidRPr="00E2299B">
        <w:rPr>
          <w:rFonts w:ascii="Palatino Linotype" w:hAnsi="Palatino Linotype" w:cs="Times New Roman"/>
          <w:color w:val="0D0D0D"/>
          <w:shd w:val="clear" w:color="auto" w:fill="FFFFFF"/>
        </w:rPr>
        <w:t>However, despite the overwhelming evidence supporting the potential of marine microorganisms as a source of bioactive ingredients for the pharmaceutical industry, research in this area still faces various challenges. One of the main challenges is the process of exploration and extraction of bioactive compounds from marine microorganisms, which requires advanced technology and high costs. In addition, extreme ocean conditions demand the development of efficient cultivation methods for the mass production of these microorganisms in the laboratory (Leal et al., 2019).</w:t>
      </w:r>
    </w:p>
    <w:p w14:paraId="62BED4C4" w14:textId="77777777" w:rsidR="00652DBA" w:rsidRPr="00E2299B" w:rsidRDefault="00652DBA" w:rsidP="00E2299B">
      <w:pPr>
        <w:spacing w:after="0"/>
        <w:ind w:firstLine="720"/>
        <w:jc w:val="both"/>
        <w:rPr>
          <w:rFonts w:ascii="Palatino Linotype" w:hAnsi="Palatino Linotype" w:cs="Times New Roman"/>
          <w:color w:val="0D0D0D"/>
          <w:shd w:val="clear" w:color="auto" w:fill="FFFFFF"/>
        </w:rPr>
      </w:pPr>
      <w:r w:rsidRPr="00E2299B">
        <w:rPr>
          <w:rFonts w:ascii="Palatino Linotype" w:hAnsi="Palatino Linotype" w:cs="Times New Roman"/>
          <w:color w:val="0D0D0D"/>
          <w:shd w:val="clear" w:color="auto" w:fill="FFFFFF"/>
        </w:rPr>
        <w:t>Therefore, this study aims to explore and identify marine microorganisms that have potential in the production of bioactive ingredients for pharmaceutical applications. By utilising cutting-edge technologies such as metagenomics and marine biotechnology, it is hoped that this research can contribute significantly to the development of new drugs that are more effective and have broad benefits in the pharmaceutical industry.</w:t>
      </w:r>
    </w:p>
    <w:p w14:paraId="7315DBCF" w14:textId="77777777" w:rsidR="00652DBA" w:rsidRPr="00E2299B" w:rsidRDefault="00652DBA" w:rsidP="00E2299B">
      <w:pPr>
        <w:spacing w:after="0"/>
        <w:jc w:val="both"/>
        <w:rPr>
          <w:rFonts w:ascii="Palatino Linotype" w:hAnsi="Palatino Linotype" w:cs="Times New Roman"/>
          <w:b/>
          <w:bCs/>
        </w:rPr>
      </w:pPr>
    </w:p>
    <w:p w14:paraId="289E8A83" w14:textId="77777777" w:rsidR="00652DBA" w:rsidRPr="00E2299B" w:rsidRDefault="00652DBA" w:rsidP="00E2299B">
      <w:pPr>
        <w:spacing w:after="0"/>
        <w:jc w:val="both"/>
        <w:rPr>
          <w:rFonts w:ascii="Palatino Linotype" w:hAnsi="Palatino Linotype" w:cs="Times New Roman"/>
          <w:b/>
          <w:bCs/>
          <w:lang w:val="en-US"/>
        </w:rPr>
      </w:pPr>
      <w:r w:rsidRPr="00E2299B">
        <w:rPr>
          <w:rFonts w:ascii="Palatino Linotype" w:hAnsi="Palatino Linotype" w:cs="Times New Roman"/>
          <w:b/>
          <w:bCs/>
          <w:lang w:val="en-US"/>
        </w:rPr>
        <w:t>METHODS</w:t>
      </w:r>
    </w:p>
    <w:p w14:paraId="6534963C" w14:textId="77777777" w:rsidR="00652DBA" w:rsidRPr="00E2299B" w:rsidRDefault="00652DBA" w:rsidP="00E2299B">
      <w:pPr>
        <w:spacing w:after="0"/>
        <w:ind w:firstLine="720"/>
        <w:jc w:val="both"/>
        <w:rPr>
          <w:rFonts w:ascii="Palatino Linotype" w:hAnsi="Palatino Linotype" w:cs="Times New Roman"/>
          <w:color w:val="0D0D0D"/>
          <w:shd w:val="clear" w:color="auto" w:fill="FFFFFF"/>
        </w:rPr>
      </w:pPr>
      <w:r w:rsidRPr="00E2299B">
        <w:rPr>
          <w:rFonts w:ascii="Palatino Linotype" w:hAnsi="Palatino Linotype" w:cs="Times New Roman"/>
          <w:color w:val="0D0D0D"/>
          <w:shd w:val="clear" w:color="auto" w:fill="FFFFFF"/>
        </w:rPr>
        <w:t xml:space="preserve">This study was a laboratory experimental study that used a true experimental design with a post-test only control design. In this study, the materials used included Staphylococcus aureus </w:t>
      </w:r>
      <w:r w:rsidRPr="00E2299B">
        <w:rPr>
          <w:rFonts w:ascii="Palatino Linotype" w:hAnsi="Palatino Linotype" w:cs="Times New Roman"/>
          <w:color w:val="0D0D0D"/>
          <w:shd w:val="clear" w:color="auto" w:fill="FFFFFF"/>
        </w:rPr>
        <w:lastRenderedPageBreak/>
        <w:t>bacteria, nutrient agar (NA), MüllerHinton agar (MHA), Gracilaria sp. seaweed obtained from Likupang beach waters, and cerebral blood infusion, (BHI-B), amoxicillin solution and 95% ethanol, 1% BaCl2, 1% H2SO4 solution, and distilled water.</w:t>
      </w:r>
    </w:p>
    <w:p w14:paraId="2D74630D" w14:textId="77777777" w:rsidR="00652DBA" w:rsidRPr="00E2299B" w:rsidRDefault="00652DBA" w:rsidP="00E2299B">
      <w:pPr>
        <w:spacing w:after="0"/>
        <w:ind w:firstLine="720"/>
        <w:jc w:val="both"/>
        <w:rPr>
          <w:rFonts w:ascii="Palatino Linotype" w:hAnsi="Palatino Linotype" w:cs="Times New Roman"/>
          <w:color w:val="0D0D0D"/>
          <w:shd w:val="clear" w:color="auto" w:fill="FFFFFF"/>
        </w:rPr>
      </w:pPr>
      <w:r w:rsidRPr="00E2299B">
        <w:rPr>
          <w:rFonts w:ascii="Palatino Linotype" w:hAnsi="Palatino Linotype" w:cs="Times New Roman"/>
          <w:color w:val="0D0D0D"/>
          <w:shd w:val="clear" w:color="auto" w:fill="FFFFFF"/>
        </w:rPr>
        <w:t>The research will be conducted at the biotechnology and microbiology laboratory, in collaboration with the marine research centre for sampling. Samples of marine microorganisms will be taken from marine ecosystems rich in biodiversity, such as deep sea waters or coral reefs. The targeted microorganisms are marine bacteria, fungi and microalgae. The sampling technique is carried out by random sampling method in a predetermined area, using equipment such as sediment trap and water sampler.</w:t>
      </w:r>
    </w:p>
    <w:p w14:paraId="6508A8BC" w14:textId="77777777" w:rsidR="00652DBA" w:rsidRPr="00E2299B" w:rsidRDefault="00652DBA" w:rsidP="00E2299B">
      <w:pPr>
        <w:spacing w:after="0"/>
        <w:ind w:firstLine="720"/>
        <w:jc w:val="both"/>
        <w:rPr>
          <w:rFonts w:ascii="Palatino Linotype" w:hAnsi="Palatino Linotype" w:cs="Times New Roman"/>
          <w:color w:val="0D0D0D"/>
          <w:shd w:val="clear" w:color="auto" w:fill="FFFFFF"/>
        </w:rPr>
      </w:pPr>
      <w:r w:rsidRPr="00E2299B">
        <w:rPr>
          <w:rFonts w:ascii="Palatino Linotype" w:hAnsi="Palatino Linotype" w:cs="Times New Roman"/>
          <w:color w:val="0D0D0D"/>
          <w:shd w:val="clear" w:color="auto" w:fill="FFFFFF"/>
        </w:rPr>
        <w:t>The test was conducted using the modified Kirby-Bauer method using filter paper discs. Filter paper was formed as discs using a perforator consisting of twelve discs. On the first disc, a solution of concentrated extract of Gracilaria sp. seaweed that had been dissolved with 95% ethanol was given and evaporated with a vacuum rotator evaporator. In the second disc, the concentrated extract solution of seaweed that has been dissolved with 95% ethanol was given and evaporated with an oven. In the third disc, amoxicillin that has been dissolved with distilled water was given, and in the fourth disc, the negative control was given 95% ethanol. After the discs were placed on MHA media, three petri dishes were processed in the same way. After that, the petri dishes were incubated for 24 hours in an incubator at 37°C.</w:t>
      </w:r>
    </w:p>
    <w:p w14:paraId="183E2B49" w14:textId="77777777" w:rsidR="00652DBA" w:rsidRPr="00E2299B" w:rsidRDefault="00652DBA" w:rsidP="00E2299B">
      <w:pPr>
        <w:spacing w:after="0"/>
        <w:ind w:firstLine="720"/>
        <w:jc w:val="both"/>
        <w:rPr>
          <w:rFonts w:ascii="Palatino Linotype" w:hAnsi="Palatino Linotype" w:cs="Times New Roman"/>
          <w:color w:val="0D0D0D"/>
          <w:shd w:val="clear" w:color="auto" w:fill="FFFFFF"/>
        </w:rPr>
      </w:pPr>
      <w:r w:rsidRPr="00E2299B">
        <w:rPr>
          <w:rFonts w:ascii="Palatino Linotype" w:hAnsi="Palatino Linotype" w:cs="Times New Roman"/>
          <w:color w:val="0D0D0D"/>
          <w:shd w:val="clear" w:color="auto" w:fill="FFFFFF"/>
        </w:rPr>
        <w:t>This research will adhere to the ethical principles of research, especially in terms of the management of protected marine samples. Sampling permits will be obtained from the authorities, and exploitation of marine resources will be done in a way that does not harm the ecosystem.</w:t>
      </w:r>
    </w:p>
    <w:p w14:paraId="240F5415" w14:textId="77777777" w:rsidR="00652DBA" w:rsidRPr="00E2299B" w:rsidRDefault="00652DBA" w:rsidP="00E2299B">
      <w:pPr>
        <w:spacing w:after="0"/>
        <w:rPr>
          <w:rFonts w:ascii="Palatino Linotype" w:hAnsi="Palatino Linotype" w:cs="Times New Roman"/>
          <w:b/>
        </w:rPr>
      </w:pPr>
    </w:p>
    <w:p w14:paraId="7B1964D2" w14:textId="77777777" w:rsidR="00652DBA" w:rsidRPr="00E2299B" w:rsidRDefault="00652DBA" w:rsidP="00E2299B">
      <w:pPr>
        <w:autoSpaceDE w:val="0"/>
        <w:autoSpaceDN w:val="0"/>
        <w:adjustRightInd w:val="0"/>
        <w:spacing w:after="0"/>
        <w:jc w:val="both"/>
        <w:rPr>
          <w:rFonts w:ascii="Palatino Linotype" w:hAnsi="Palatino Linotype" w:cs="Times New Roman"/>
          <w:b/>
          <w:lang w:val="en-US"/>
        </w:rPr>
      </w:pPr>
      <w:bookmarkStart w:id="3" w:name="_Hlk182408592"/>
      <w:bookmarkStart w:id="4" w:name="_Hlk182473520"/>
      <w:r w:rsidRPr="00E2299B">
        <w:rPr>
          <w:rFonts w:ascii="Palatino Linotype" w:hAnsi="Palatino Linotype" w:cs="Times New Roman"/>
          <w:b/>
          <w:lang w:val="en-US"/>
        </w:rPr>
        <w:t>RESULTS</w:t>
      </w:r>
    </w:p>
    <w:p w14:paraId="12F530E4" w14:textId="629D4961" w:rsidR="00652DBA" w:rsidRPr="00E2299B" w:rsidRDefault="00652DBA" w:rsidP="00E2299B">
      <w:pPr>
        <w:autoSpaceDE w:val="0"/>
        <w:autoSpaceDN w:val="0"/>
        <w:adjustRightInd w:val="0"/>
        <w:spacing w:after="0"/>
        <w:rPr>
          <w:rFonts w:ascii="Palatino Linotype" w:hAnsi="Palatino Linotype" w:cs="Times New Roman"/>
          <w:b/>
          <w:bCs/>
        </w:rPr>
      </w:pPr>
      <w:r w:rsidRPr="00E2299B">
        <w:rPr>
          <w:rFonts w:ascii="Palatino Linotype" w:hAnsi="Palatino Linotype" w:cs="Times New Roman"/>
          <w:b/>
          <w:bCs/>
        </w:rPr>
        <w:t xml:space="preserve">1. Measurement Results of the Area of Inhibition Zone Formed Around the Discs </w:t>
      </w:r>
    </w:p>
    <w:p w14:paraId="636149E2" w14:textId="2BB4B19B"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lang w:val="en-US"/>
        </w:rPr>
        <w:t xml:space="preserve">Table </w:t>
      </w:r>
      <w:r w:rsidRPr="00E2299B">
        <w:rPr>
          <w:rFonts w:ascii="Palatino Linotype" w:hAnsi="Palatino Linotype" w:cs="Times New Roman"/>
          <w:b/>
          <w:color w:val="000000"/>
          <w:lang w:val="en-US"/>
        </w:rPr>
        <w:fldChar w:fldCharType="begin"/>
      </w:r>
      <w:r w:rsidRPr="00E2299B">
        <w:rPr>
          <w:rFonts w:ascii="Palatino Linotype" w:hAnsi="Palatino Linotype" w:cs="Times New Roman"/>
          <w:b/>
          <w:color w:val="000000"/>
          <w:lang w:val="en-US"/>
        </w:rPr>
        <w:instrText xml:space="preserve"> SEQ Table \* ARABIC </w:instrText>
      </w:r>
      <w:r w:rsidRPr="00E2299B">
        <w:rPr>
          <w:rFonts w:ascii="Palatino Linotype" w:hAnsi="Palatino Linotype" w:cs="Times New Roman"/>
          <w:b/>
          <w:color w:val="000000"/>
          <w:lang w:val="en-US"/>
        </w:rPr>
        <w:fldChar w:fldCharType="separate"/>
      </w:r>
      <w:r w:rsidR="00FA116A">
        <w:rPr>
          <w:rFonts w:ascii="Palatino Linotype" w:hAnsi="Palatino Linotype" w:cs="Times New Roman"/>
          <w:b/>
          <w:noProof/>
          <w:color w:val="000000"/>
          <w:lang w:val="en-US"/>
        </w:rPr>
        <w:t>1</w:t>
      </w:r>
      <w:r w:rsidRPr="00E2299B">
        <w:rPr>
          <w:rFonts w:ascii="Palatino Linotype" w:hAnsi="Palatino Linotype" w:cs="Times New Roman"/>
          <w:b/>
          <w:color w:val="000000"/>
          <w:lang w:val="en-US"/>
        </w:rPr>
        <w:fldChar w:fldCharType="end"/>
      </w:r>
      <w:r w:rsidRPr="00E2299B">
        <w:rPr>
          <w:rFonts w:ascii="Palatino Linotype" w:hAnsi="Palatino Linotype" w:cs="Times New Roman"/>
          <w:b/>
          <w:color w:val="000000"/>
          <w:lang w:val="en-US"/>
        </w:rPr>
        <w:t xml:space="preserve">. </w:t>
      </w:r>
      <w:r w:rsidRPr="00E2299B">
        <w:rPr>
          <w:rFonts w:ascii="Palatino Linotype" w:hAnsi="Palatino Linotype" w:cs="Times New Roman"/>
          <w:b/>
          <w:color w:val="000000"/>
        </w:rPr>
        <w:t>Diameter of inhibition zone against Staphylococcus Aereus bacteria</w:t>
      </w:r>
    </w:p>
    <w:tbl>
      <w:tblPr>
        <w:tblW w:w="4265"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21"/>
        <w:gridCol w:w="1394"/>
        <w:gridCol w:w="1389"/>
        <w:gridCol w:w="1800"/>
        <w:gridCol w:w="2017"/>
      </w:tblGrid>
      <w:tr w:rsidR="00652DBA" w:rsidRPr="00E2299B" w14:paraId="3BF43729" w14:textId="77777777" w:rsidTr="00C605DA">
        <w:trPr>
          <w:trHeight w:val="473"/>
          <w:jc w:val="center"/>
        </w:trPr>
        <w:tc>
          <w:tcPr>
            <w:tcW w:w="985" w:type="pct"/>
            <w:vMerge w:val="restart"/>
            <w:shd w:val="clear" w:color="auto" w:fill="F2F2F2"/>
            <w:vAlign w:val="center"/>
          </w:tcPr>
          <w:p w14:paraId="265C3FA4" w14:textId="77777777"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Repetition</w:t>
            </w:r>
          </w:p>
        </w:tc>
        <w:tc>
          <w:tcPr>
            <w:tcW w:w="4015" w:type="pct"/>
            <w:gridSpan w:val="4"/>
            <w:tcBorders>
              <w:bottom w:val="single" w:sz="4" w:space="0" w:color="auto"/>
            </w:tcBorders>
            <w:shd w:val="clear" w:color="auto" w:fill="F2F2F2"/>
          </w:tcPr>
          <w:p w14:paraId="3C023691" w14:textId="77777777" w:rsidR="00652DBA" w:rsidRPr="00E2299B" w:rsidRDefault="00652DBA" w:rsidP="00E2299B">
            <w:pPr>
              <w:autoSpaceDE w:val="0"/>
              <w:autoSpaceDN w:val="0"/>
              <w:adjustRightInd w:val="0"/>
              <w:spacing w:after="0"/>
              <w:jc w:val="center"/>
              <w:rPr>
                <w:rFonts w:ascii="Palatino Linotype" w:hAnsi="Palatino Linotype" w:cs="Times New Roman"/>
                <w:b/>
                <w:color w:val="000000"/>
                <w:lang w:val="en-US"/>
              </w:rPr>
            </w:pPr>
            <w:r w:rsidRPr="00E2299B">
              <w:rPr>
                <w:rFonts w:ascii="Palatino Linotype" w:hAnsi="Palatino Linotype" w:cs="Times New Roman"/>
                <w:b/>
                <w:color w:val="000000"/>
              </w:rPr>
              <w:t>Inhibition zone diameter (mm)</w:t>
            </w:r>
          </w:p>
        </w:tc>
      </w:tr>
      <w:tr w:rsidR="00652DBA" w:rsidRPr="00E2299B" w14:paraId="2D51C0B7" w14:textId="77777777" w:rsidTr="00C605DA">
        <w:trPr>
          <w:jc w:val="center"/>
        </w:trPr>
        <w:tc>
          <w:tcPr>
            <w:tcW w:w="985" w:type="pct"/>
            <w:vMerge/>
            <w:tcBorders>
              <w:bottom w:val="single" w:sz="4" w:space="0" w:color="auto"/>
            </w:tcBorders>
            <w:shd w:val="clear" w:color="auto" w:fill="auto"/>
          </w:tcPr>
          <w:p w14:paraId="22F4FB9C" w14:textId="77777777" w:rsidR="00652DBA" w:rsidRPr="00E2299B" w:rsidRDefault="00652DBA" w:rsidP="00E2299B">
            <w:pPr>
              <w:autoSpaceDE w:val="0"/>
              <w:autoSpaceDN w:val="0"/>
              <w:adjustRightInd w:val="0"/>
              <w:spacing w:after="0"/>
              <w:jc w:val="both"/>
              <w:rPr>
                <w:rFonts w:ascii="Palatino Linotype" w:hAnsi="Palatino Linotype" w:cs="Times New Roman"/>
                <w:bCs/>
                <w:color w:val="000000"/>
                <w:lang w:val="en-US"/>
              </w:rPr>
            </w:pPr>
          </w:p>
        </w:tc>
        <w:tc>
          <w:tcPr>
            <w:tcW w:w="848" w:type="pct"/>
            <w:tcBorders>
              <w:bottom w:val="single" w:sz="4" w:space="0" w:color="auto"/>
            </w:tcBorders>
            <w:shd w:val="clear" w:color="auto" w:fill="EDEDED" w:themeFill="accent3" w:themeFillTint="33"/>
          </w:tcPr>
          <w:p w14:paraId="2B654FBD" w14:textId="77777777"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Extract I</w:t>
            </w:r>
          </w:p>
        </w:tc>
        <w:tc>
          <w:tcPr>
            <w:tcW w:w="845" w:type="pct"/>
            <w:tcBorders>
              <w:bottom w:val="single" w:sz="4" w:space="0" w:color="auto"/>
            </w:tcBorders>
            <w:shd w:val="clear" w:color="auto" w:fill="EDEDED" w:themeFill="accent3" w:themeFillTint="33"/>
          </w:tcPr>
          <w:p w14:paraId="68B0C4BF" w14:textId="77777777"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Extract II</w:t>
            </w:r>
          </w:p>
        </w:tc>
        <w:tc>
          <w:tcPr>
            <w:tcW w:w="1095" w:type="pct"/>
            <w:tcBorders>
              <w:bottom w:val="single" w:sz="4" w:space="0" w:color="auto"/>
            </w:tcBorders>
            <w:shd w:val="clear" w:color="auto" w:fill="EDEDED" w:themeFill="accent3" w:themeFillTint="33"/>
          </w:tcPr>
          <w:p w14:paraId="6078D157" w14:textId="15D9DD6D"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Positive control</w:t>
            </w:r>
          </w:p>
        </w:tc>
        <w:tc>
          <w:tcPr>
            <w:tcW w:w="1227" w:type="pct"/>
            <w:tcBorders>
              <w:bottom w:val="single" w:sz="4" w:space="0" w:color="auto"/>
            </w:tcBorders>
            <w:shd w:val="clear" w:color="auto" w:fill="EDEDED" w:themeFill="accent3" w:themeFillTint="33"/>
          </w:tcPr>
          <w:p w14:paraId="1603DD69" w14:textId="62104CD4"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Negative control</w:t>
            </w:r>
          </w:p>
        </w:tc>
      </w:tr>
      <w:tr w:rsidR="00652DBA" w:rsidRPr="00E2299B" w14:paraId="0A2B5075" w14:textId="77777777" w:rsidTr="00C605DA">
        <w:trPr>
          <w:jc w:val="center"/>
        </w:trPr>
        <w:tc>
          <w:tcPr>
            <w:tcW w:w="985" w:type="pct"/>
            <w:tcBorders>
              <w:top w:val="single" w:sz="4" w:space="0" w:color="auto"/>
              <w:bottom w:val="nil"/>
            </w:tcBorders>
            <w:shd w:val="clear" w:color="auto" w:fill="auto"/>
          </w:tcPr>
          <w:p w14:paraId="345AEF78"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1</w:t>
            </w:r>
          </w:p>
        </w:tc>
        <w:tc>
          <w:tcPr>
            <w:tcW w:w="848" w:type="pct"/>
            <w:tcBorders>
              <w:top w:val="single" w:sz="4" w:space="0" w:color="auto"/>
              <w:bottom w:val="nil"/>
            </w:tcBorders>
            <w:shd w:val="clear" w:color="auto" w:fill="auto"/>
          </w:tcPr>
          <w:p w14:paraId="1FA190E8"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2</w:t>
            </w:r>
          </w:p>
        </w:tc>
        <w:tc>
          <w:tcPr>
            <w:tcW w:w="845" w:type="pct"/>
            <w:tcBorders>
              <w:top w:val="single" w:sz="4" w:space="0" w:color="auto"/>
              <w:bottom w:val="nil"/>
            </w:tcBorders>
            <w:shd w:val="clear" w:color="auto" w:fill="auto"/>
          </w:tcPr>
          <w:p w14:paraId="1440E49B"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2,5</w:t>
            </w:r>
          </w:p>
        </w:tc>
        <w:tc>
          <w:tcPr>
            <w:tcW w:w="1095" w:type="pct"/>
            <w:tcBorders>
              <w:top w:val="single" w:sz="4" w:space="0" w:color="auto"/>
              <w:bottom w:val="nil"/>
            </w:tcBorders>
          </w:tcPr>
          <w:p w14:paraId="188EDD5C"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29,1</w:t>
            </w:r>
          </w:p>
        </w:tc>
        <w:tc>
          <w:tcPr>
            <w:tcW w:w="1227" w:type="pct"/>
            <w:tcBorders>
              <w:top w:val="single" w:sz="4" w:space="0" w:color="auto"/>
              <w:bottom w:val="nil"/>
            </w:tcBorders>
          </w:tcPr>
          <w:p w14:paraId="3BCEDE1A"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3,5</w:t>
            </w:r>
          </w:p>
        </w:tc>
      </w:tr>
      <w:tr w:rsidR="00652DBA" w:rsidRPr="00E2299B" w14:paraId="0EBF9170" w14:textId="77777777" w:rsidTr="00C605DA">
        <w:trPr>
          <w:jc w:val="center"/>
        </w:trPr>
        <w:tc>
          <w:tcPr>
            <w:tcW w:w="985" w:type="pct"/>
            <w:tcBorders>
              <w:top w:val="nil"/>
              <w:bottom w:val="nil"/>
            </w:tcBorders>
            <w:shd w:val="clear" w:color="auto" w:fill="auto"/>
          </w:tcPr>
          <w:p w14:paraId="3ABA5725"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2</w:t>
            </w:r>
          </w:p>
        </w:tc>
        <w:tc>
          <w:tcPr>
            <w:tcW w:w="848" w:type="pct"/>
            <w:tcBorders>
              <w:top w:val="nil"/>
              <w:bottom w:val="nil"/>
            </w:tcBorders>
            <w:shd w:val="clear" w:color="auto" w:fill="auto"/>
          </w:tcPr>
          <w:p w14:paraId="19ADFA97"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2</w:t>
            </w:r>
          </w:p>
        </w:tc>
        <w:tc>
          <w:tcPr>
            <w:tcW w:w="845" w:type="pct"/>
            <w:tcBorders>
              <w:top w:val="nil"/>
              <w:bottom w:val="nil"/>
            </w:tcBorders>
            <w:shd w:val="clear" w:color="auto" w:fill="auto"/>
          </w:tcPr>
          <w:p w14:paraId="427325A8"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3,5</w:t>
            </w:r>
          </w:p>
        </w:tc>
        <w:tc>
          <w:tcPr>
            <w:tcW w:w="1095" w:type="pct"/>
            <w:tcBorders>
              <w:top w:val="nil"/>
              <w:bottom w:val="nil"/>
            </w:tcBorders>
          </w:tcPr>
          <w:p w14:paraId="56787DB7"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31,5</w:t>
            </w:r>
          </w:p>
        </w:tc>
        <w:tc>
          <w:tcPr>
            <w:tcW w:w="1227" w:type="pct"/>
            <w:tcBorders>
              <w:top w:val="nil"/>
              <w:bottom w:val="nil"/>
            </w:tcBorders>
          </w:tcPr>
          <w:p w14:paraId="677BAD98"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5,5</w:t>
            </w:r>
          </w:p>
        </w:tc>
      </w:tr>
      <w:tr w:rsidR="00652DBA" w:rsidRPr="00E2299B" w14:paraId="0EC7540E" w14:textId="77777777" w:rsidTr="00C605DA">
        <w:trPr>
          <w:jc w:val="center"/>
        </w:trPr>
        <w:tc>
          <w:tcPr>
            <w:tcW w:w="985" w:type="pct"/>
            <w:tcBorders>
              <w:top w:val="nil"/>
            </w:tcBorders>
            <w:shd w:val="clear" w:color="auto" w:fill="auto"/>
          </w:tcPr>
          <w:p w14:paraId="663B3AC5"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3</w:t>
            </w:r>
          </w:p>
        </w:tc>
        <w:tc>
          <w:tcPr>
            <w:tcW w:w="848" w:type="pct"/>
            <w:tcBorders>
              <w:top w:val="nil"/>
            </w:tcBorders>
            <w:shd w:val="clear" w:color="auto" w:fill="auto"/>
          </w:tcPr>
          <w:p w14:paraId="094A838B"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2,5</w:t>
            </w:r>
          </w:p>
        </w:tc>
        <w:tc>
          <w:tcPr>
            <w:tcW w:w="845" w:type="pct"/>
            <w:tcBorders>
              <w:top w:val="nil"/>
            </w:tcBorders>
            <w:shd w:val="clear" w:color="auto" w:fill="auto"/>
          </w:tcPr>
          <w:p w14:paraId="0AA51529"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3</w:t>
            </w:r>
          </w:p>
        </w:tc>
        <w:tc>
          <w:tcPr>
            <w:tcW w:w="1095" w:type="pct"/>
            <w:tcBorders>
              <w:top w:val="nil"/>
            </w:tcBorders>
          </w:tcPr>
          <w:p w14:paraId="7A297911"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27,5</w:t>
            </w:r>
          </w:p>
        </w:tc>
        <w:tc>
          <w:tcPr>
            <w:tcW w:w="1227" w:type="pct"/>
            <w:tcBorders>
              <w:top w:val="nil"/>
            </w:tcBorders>
          </w:tcPr>
          <w:p w14:paraId="241683B4"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4,5</w:t>
            </w:r>
          </w:p>
        </w:tc>
      </w:tr>
      <w:tr w:rsidR="00652DBA" w:rsidRPr="00E2299B" w14:paraId="08480A2A" w14:textId="77777777" w:rsidTr="00C605DA">
        <w:trPr>
          <w:trHeight w:val="241"/>
          <w:jc w:val="center"/>
        </w:trPr>
        <w:tc>
          <w:tcPr>
            <w:tcW w:w="985" w:type="pct"/>
            <w:shd w:val="clear" w:color="auto" w:fill="F2F2F2"/>
          </w:tcPr>
          <w:p w14:paraId="0FF05164" w14:textId="7CD17D6B"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Average</w:t>
            </w:r>
          </w:p>
        </w:tc>
        <w:tc>
          <w:tcPr>
            <w:tcW w:w="848" w:type="pct"/>
            <w:shd w:val="clear" w:color="auto" w:fill="F2F2F2"/>
          </w:tcPr>
          <w:p w14:paraId="116F1491" w14:textId="77777777"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2,2</w:t>
            </w:r>
          </w:p>
        </w:tc>
        <w:tc>
          <w:tcPr>
            <w:tcW w:w="845" w:type="pct"/>
            <w:shd w:val="clear" w:color="auto" w:fill="F2F2F2"/>
          </w:tcPr>
          <w:p w14:paraId="6D74AABB" w14:textId="77777777"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3</w:t>
            </w:r>
          </w:p>
        </w:tc>
        <w:tc>
          <w:tcPr>
            <w:tcW w:w="1095" w:type="pct"/>
            <w:shd w:val="clear" w:color="auto" w:fill="F2F2F2"/>
          </w:tcPr>
          <w:p w14:paraId="2FC6C0A5" w14:textId="77777777"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29,5</w:t>
            </w:r>
          </w:p>
        </w:tc>
        <w:tc>
          <w:tcPr>
            <w:tcW w:w="1227" w:type="pct"/>
            <w:shd w:val="clear" w:color="auto" w:fill="F2F2F2"/>
          </w:tcPr>
          <w:p w14:paraId="76D94564" w14:textId="77777777"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4,5</w:t>
            </w:r>
          </w:p>
        </w:tc>
      </w:tr>
    </w:tbl>
    <w:p w14:paraId="4EBA920C" w14:textId="77777777" w:rsidR="00652DBA" w:rsidRPr="00E2299B" w:rsidRDefault="00652DBA" w:rsidP="00E2299B">
      <w:pPr>
        <w:autoSpaceDE w:val="0"/>
        <w:autoSpaceDN w:val="0"/>
        <w:adjustRightInd w:val="0"/>
        <w:spacing w:after="0"/>
        <w:ind w:firstLine="284"/>
        <w:jc w:val="both"/>
        <w:rPr>
          <w:rFonts w:ascii="Palatino Linotype" w:hAnsi="Palatino Linotype" w:cs="Times New Roman"/>
          <w:bCs/>
          <w:color w:val="000000"/>
          <w:lang w:val="en-US"/>
        </w:rPr>
      </w:pPr>
    </w:p>
    <w:p w14:paraId="6681B751" w14:textId="77777777" w:rsidR="00652DBA" w:rsidRPr="00E2299B" w:rsidRDefault="00652DBA" w:rsidP="00E2299B">
      <w:pPr>
        <w:autoSpaceDE w:val="0"/>
        <w:autoSpaceDN w:val="0"/>
        <w:adjustRightInd w:val="0"/>
        <w:spacing w:after="0"/>
        <w:ind w:firstLine="567"/>
        <w:jc w:val="both"/>
        <w:rPr>
          <w:rFonts w:ascii="Palatino Linotype" w:hAnsi="Palatino Linotype" w:cs="Times New Roman"/>
          <w:b/>
        </w:rPr>
      </w:pPr>
      <w:r w:rsidRPr="00E2299B">
        <w:rPr>
          <w:rFonts w:ascii="Palatino Linotype" w:hAnsi="Palatino Linotype" w:cs="Times New Roman"/>
          <w:b/>
        </w:rPr>
        <w:t xml:space="preserve">Ket. </w:t>
      </w:r>
    </w:p>
    <w:p w14:paraId="196279EA" w14:textId="3F79BE76" w:rsidR="00652DBA" w:rsidRPr="00E2299B" w:rsidRDefault="00652DBA" w:rsidP="00E2299B">
      <w:pPr>
        <w:autoSpaceDE w:val="0"/>
        <w:autoSpaceDN w:val="0"/>
        <w:adjustRightInd w:val="0"/>
        <w:spacing w:after="0"/>
        <w:ind w:firstLine="567"/>
        <w:jc w:val="both"/>
        <w:rPr>
          <w:rFonts w:ascii="Palatino Linotype" w:hAnsi="Palatino Linotype" w:cs="Times New Roman"/>
          <w:i/>
        </w:rPr>
      </w:pPr>
      <w:r w:rsidRPr="00E2299B">
        <w:rPr>
          <w:rFonts w:ascii="Palatino Linotype" w:hAnsi="Palatino Linotype" w:cs="Times New Roman"/>
        </w:rPr>
        <w:t xml:space="preserve">Extract I </w:t>
      </w:r>
      <w:r w:rsidRPr="00E2299B">
        <w:rPr>
          <w:rFonts w:ascii="Palatino Linotype" w:hAnsi="Palatino Linotype" w:cs="Times New Roman"/>
        </w:rPr>
        <w:tab/>
      </w:r>
      <w:r w:rsidRPr="00E2299B">
        <w:rPr>
          <w:rFonts w:ascii="Palatino Linotype" w:hAnsi="Palatino Linotype" w:cs="Times New Roman"/>
        </w:rPr>
        <w:tab/>
      </w:r>
      <w:r w:rsidR="00D03184" w:rsidRPr="00E2299B">
        <w:rPr>
          <w:rFonts w:ascii="Palatino Linotype" w:hAnsi="Palatino Linotype" w:cs="Times New Roman"/>
        </w:rPr>
        <w:tab/>
      </w:r>
      <w:r w:rsidRPr="00E2299B">
        <w:rPr>
          <w:rFonts w:ascii="Palatino Linotype" w:hAnsi="Palatino Linotype" w:cs="Times New Roman"/>
        </w:rPr>
        <w:t xml:space="preserve">: extract evaporated with </w:t>
      </w:r>
      <w:r w:rsidRPr="00E2299B">
        <w:rPr>
          <w:rFonts w:ascii="Palatino Linotype" w:hAnsi="Palatino Linotype" w:cs="Times New Roman"/>
          <w:i/>
        </w:rPr>
        <w:t>vacuum evaporator</w:t>
      </w:r>
    </w:p>
    <w:p w14:paraId="71EBD787" w14:textId="0176A3E2" w:rsidR="00652DBA" w:rsidRPr="00E2299B" w:rsidRDefault="00652DBA" w:rsidP="00E2299B">
      <w:pPr>
        <w:autoSpaceDE w:val="0"/>
        <w:autoSpaceDN w:val="0"/>
        <w:adjustRightInd w:val="0"/>
        <w:spacing w:after="0"/>
        <w:ind w:firstLine="567"/>
        <w:jc w:val="both"/>
        <w:rPr>
          <w:rFonts w:ascii="Palatino Linotype" w:hAnsi="Palatino Linotype" w:cs="Times New Roman"/>
        </w:rPr>
      </w:pPr>
      <w:r w:rsidRPr="00E2299B">
        <w:rPr>
          <w:rFonts w:ascii="Palatino Linotype" w:hAnsi="Palatino Linotype" w:cs="Times New Roman"/>
        </w:rPr>
        <w:t xml:space="preserve">Extract II </w:t>
      </w:r>
      <w:r w:rsidRPr="00E2299B">
        <w:rPr>
          <w:rFonts w:ascii="Palatino Linotype" w:hAnsi="Palatino Linotype" w:cs="Times New Roman"/>
        </w:rPr>
        <w:tab/>
      </w:r>
      <w:r w:rsidR="00D03184" w:rsidRPr="00E2299B">
        <w:rPr>
          <w:rFonts w:ascii="Palatino Linotype" w:hAnsi="Palatino Linotype" w:cs="Times New Roman"/>
        </w:rPr>
        <w:tab/>
      </w:r>
      <w:r w:rsidRPr="00E2299B">
        <w:rPr>
          <w:rFonts w:ascii="Palatino Linotype" w:hAnsi="Palatino Linotype" w:cs="Times New Roman"/>
        </w:rPr>
        <w:t xml:space="preserve">: evaporated with oven </w:t>
      </w:r>
    </w:p>
    <w:p w14:paraId="7FB847DB" w14:textId="1530854D" w:rsidR="00652DBA" w:rsidRPr="00E2299B" w:rsidRDefault="00652DBA" w:rsidP="00E2299B">
      <w:pPr>
        <w:autoSpaceDE w:val="0"/>
        <w:autoSpaceDN w:val="0"/>
        <w:adjustRightInd w:val="0"/>
        <w:spacing w:after="0"/>
        <w:ind w:firstLine="567"/>
        <w:jc w:val="both"/>
        <w:rPr>
          <w:rFonts w:ascii="Palatino Linotype" w:hAnsi="Palatino Linotype" w:cs="Times New Roman"/>
        </w:rPr>
      </w:pPr>
      <w:r w:rsidRPr="00E2299B">
        <w:rPr>
          <w:rFonts w:ascii="Palatino Linotype" w:hAnsi="Palatino Linotype" w:cs="Times New Roman"/>
        </w:rPr>
        <w:t>Positive control</w:t>
      </w:r>
      <w:r w:rsidRPr="00E2299B">
        <w:rPr>
          <w:rFonts w:ascii="Palatino Linotype" w:hAnsi="Palatino Linotype" w:cs="Times New Roman"/>
        </w:rPr>
        <w:tab/>
      </w:r>
      <w:r w:rsidR="00D03184" w:rsidRPr="00E2299B">
        <w:rPr>
          <w:rFonts w:ascii="Palatino Linotype" w:hAnsi="Palatino Linotype" w:cs="Times New Roman"/>
        </w:rPr>
        <w:tab/>
      </w:r>
      <w:r w:rsidRPr="00E2299B">
        <w:rPr>
          <w:rFonts w:ascii="Palatino Linotype" w:hAnsi="Palatino Linotype" w:cs="Times New Roman"/>
        </w:rPr>
        <w:t xml:space="preserve">: amoxicillin dissolved in distilled water </w:t>
      </w:r>
    </w:p>
    <w:p w14:paraId="5BA99976" w14:textId="6E88E7C6" w:rsidR="00652DBA" w:rsidRPr="00E2299B" w:rsidRDefault="00652DBA" w:rsidP="00E2299B">
      <w:pPr>
        <w:autoSpaceDE w:val="0"/>
        <w:autoSpaceDN w:val="0"/>
        <w:adjustRightInd w:val="0"/>
        <w:spacing w:after="0"/>
        <w:ind w:firstLine="567"/>
        <w:jc w:val="both"/>
        <w:rPr>
          <w:rFonts w:ascii="Palatino Linotype" w:hAnsi="Palatino Linotype" w:cs="Times New Roman"/>
        </w:rPr>
      </w:pPr>
      <w:r w:rsidRPr="00E2299B">
        <w:rPr>
          <w:rFonts w:ascii="Palatino Linotype" w:hAnsi="Palatino Linotype" w:cs="Times New Roman"/>
        </w:rPr>
        <w:t>Negative control</w:t>
      </w:r>
      <w:r w:rsidR="00D03184" w:rsidRPr="00E2299B">
        <w:rPr>
          <w:rFonts w:ascii="Palatino Linotype" w:hAnsi="Palatino Linotype" w:cs="Times New Roman"/>
        </w:rPr>
        <w:t xml:space="preserve"> </w:t>
      </w:r>
      <w:r w:rsidR="00D03184" w:rsidRPr="00E2299B">
        <w:rPr>
          <w:rFonts w:ascii="Palatino Linotype" w:hAnsi="Palatino Linotype" w:cs="Times New Roman"/>
        </w:rPr>
        <w:tab/>
      </w:r>
      <w:r w:rsidRPr="00E2299B">
        <w:rPr>
          <w:rFonts w:ascii="Palatino Linotype" w:hAnsi="Palatino Linotype" w:cs="Times New Roman"/>
        </w:rPr>
        <w:t>: 95% ethanol</w:t>
      </w:r>
    </w:p>
    <w:p w14:paraId="116E4420" w14:textId="77777777" w:rsidR="00640BFA" w:rsidRPr="00E2299B" w:rsidRDefault="00640BFA" w:rsidP="00E2299B">
      <w:pPr>
        <w:spacing w:after="0"/>
        <w:ind w:firstLine="567"/>
        <w:jc w:val="both"/>
        <w:rPr>
          <w:rFonts w:ascii="Palatino Linotype" w:hAnsi="Palatino Linotype" w:cs="Times New Roman"/>
          <w:bCs/>
        </w:rPr>
      </w:pPr>
    </w:p>
    <w:p w14:paraId="2120CFBA" w14:textId="1C6608DA" w:rsidR="00C605DA" w:rsidRPr="00E2299B" w:rsidRDefault="00C605DA" w:rsidP="00E2299B">
      <w:pPr>
        <w:spacing w:after="0"/>
        <w:ind w:firstLine="567"/>
        <w:jc w:val="both"/>
        <w:rPr>
          <w:rFonts w:ascii="Palatino Linotype" w:hAnsi="Palatino Linotype" w:cs="Times New Roman"/>
          <w:bCs/>
        </w:rPr>
      </w:pPr>
      <w:r w:rsidRPr="00E2299B">
        <w:rPr>
          <w:rFonts w:ascii="Palatino Linotype" w:hAnsi="Palatino Linotype" w:cs="Times New Roman"/>
          <w:bCs/>
        </w:rPr>
        <w:lastRenderedPageBreak/>
        <w:t xml:space="preserve">  Based on Table 1 regarding the diameter if inhibition zone formed around the discs, the data shows the measurement results of inhibition zone (diameter of inhibition zone in millimetres) of two types of marine microorganism extracts (mentioned as Extract I and Extract II) against Staphylococcus aureus bacteria, which were also compared with positive control (amoxicillin in distilled water) and negative control (95% ethanol). </w:t>
      </w:r>
    </w:p>
    <w:p w14:paraId="05D98220" w14:textId="4E384A8E" w:rsidR="001F31BF" w:rsidRDefault="00C605DA" w:rsidP="00E2299B">
      <w:pPr>
        <w:spacing w:after="0"/>
        <w:ind w:firstLine="567"/>
        <w:jc w:val="both"/>
        <w:rPr>
          <w:rFonts w:ascii="Palatino Linotype" w:hAnsi="Palatino Linotype" w:cs="Times New Roman"/>
          <w:bCs/>
        </w:rPr>
      </w:pPr>
      <w:r w:rsidRPr="00E2299B">
        <w:rPr>
          <w:rFonts w:ascii="Palatino Linotype" w:hAnsi="Palatino Linotype" w:cs="Times New Roman"/>
          <w:bCs/>
        </w:rPr>
        <w:t xml:space="preserve">Extract I (evaporated with vacuum evaporator) had an average inhibition zone diameter of 2.2 mm. Extract II (evaporated by oven) had an average inhibition zone diameter of 3 mm. The positive control (amoxicillin) showed a much larger inhibition zone with an average diameter of 29.5 mm, indicating high antibacterial effectiveness. The negative control (95% ethanol) had a minimal zone of inhibition of 4.5 mm. </w:t>
      </w:r>
    </w:p>
    <w:p w14:paraId="0B1A7648" w14:textId="77777777" w:rsidR="00E2299B" w:rsidRPr="00E2299B" w:rsidRDefault="00E2299B" w:rsidP="00E2299B">
      <w:pPr>
        <w:spacing w:after="0"/>
        <w:ind w:firstLine="567"/>
        <w:jc w:val="both"/>
        <w:rPr>
          <w:rFonts w:ascii="Palatino Linotype" w:hAnsi="Palatino Linotype" w:cs="Times New Roman"/>
          <w:bCs/>
        </w:rPr>
      </w:pPr>
    </w:p>
    <w:p w14:paraId="572245A9" w14:textId="521178B1" w:rsidR="00652DBA" w:rsidRPr="00E2299B" w:rsidRDefault="001F31BF" w:rsidP="00E2299B">
      <w:pPr>
        <w:autoSpaceDE w:val="0"/>
        <w:autoSpaceDN w:val="0"/>
        <w:adjustRightInd w:val="0"/>
        <w:spacing w:after="0"/>
        <w:jc w:val="center"/>
        <w:rPr>
          <w:rFonts w:ascii="Palatino Linotype" w:hAnsi="Palatino Linotype" w:cs="Times New Roman"/>
          <w:b/>
        </w:rPr>
      </w:pPr>
      <w:r w:rsidRPr="00E2299B">
        <w:rPr>
          <w:rFonts w:ascii="Palatino Linotype" w:hAnsi="Palatino Linotype" w:cs="Times New Roman"/>
          <w:b/>
        </w:rPr>
        <w:t xml:space="preserve">Table 2. </w:t>
      </w:r>
      <w:r w:rsidR="00652DBA" w:rsidRPr="00E2299B">
        <w:rPr>
          <w:rFonts w:ascii="Palatino Linotype" w:hAnsi="Palatino Linotype" w:cs="Times New Roman"/>
          <w:b/>
        </w:rPr>
        <w:t xml:space="preserve">Measurement of the Inhibition of Seaweed Extract against </w:t>
      </w:r>
      <w:r w:rsidR="00652DBA" w:rsidRPr="00E2299B">
        <w:rPr>
          <w:rFonts w:ascii="Palatino Linotype" w:hAnsi="Palatino Linotype" w:cs="Times New Roman"/>
          <w:b/>
          <w:i/>
        </w:rPr>
        <w:t xml:space="preserve">Staphylococcus Aureus </w:t>
      </w:r>
      <w:r w:rsidR="00652DBA" w:rsidRPr="00E2299B">
        <w:rPr>
          <w:rFonts w:ascii="Palatino Linotype" w:hAnsi="Palatino Linotype" w:cs="Times New Roman"/>
          <w:b/>
        </w:rPr>
        <w:t>Bacteria</w:t>
      </w:r>
    </w:p>
    <w:tbl>
      <w:tblPr>
        <w:tblW w:w="4967"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78"/>
        <w:gridCol w:w="1983"/>
        <w:gridCol w:w="1984"/>
        <w:gridCol w:w="2294"/>
        <w:gridCol w:w="2035"/>
      </w:tblGrid>
      <w:tr w:rsidR="00652DBA" w:rsidRPr="00E2299B" w14:paraId="67E3D09E" w14:textId="77777777" w:rsidTr="001F31BF">
        <w:trPr>
          <w:jc w:val="center"/>
        </w:trPr>
        <w:tc>
          <w:tcPr>
            <w:tcW w:w="667" w:type="pct"/>
            <w:tcBorders>
              <w:bottom w:val="single" w:sz="4" w:space="0" w:color="auto"/>
            </w:tcBorders>
            <w:shd w:val="clear" w:color="auto" w:fill="EDEDED" w:themeFill="accent3" w:themeFillTint="33"/>
            <w:vAlign w:val="center"/>
          </w:tcPr>
          <w:p w14:paraId="58D74460" w14:textId="74281BFC"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Repetition</w:t>
            </w:r>
          </w:p>
        </w:tc>
        <w:tc>
          <w:tcPr>
            <w:tcW w:w="1036" w:type="pct"/>
            <w:tcBorders>
              <w:bottom w:val="single" w:sz="4" w:space="0" w:color="auto"/>
            </w:tcBorders>
            <w:shd w:val="clear" w:color="auto" w:fill="EDEDED" w:themeFill="accent3" w:themeFillTint="33"/>
            <w:vAlign w:val="center"/>
          </w:tcPr>
          <w:p w14:paraId="55670ADD" w14:textId="77777777"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Inhibition zone diameter Extract I</w:t>
            </w:r>
          </w:p>
        </w:tc>
        <w:tc>
          <w:tcPr>
            <w:tcW w:w="1036" w:type="pct"/>
            <w:tcBorders>
              <w:bottom w:val="single" w:sz="4" w:space="0" w:color="auto"/>
            </w:tcBorders>
            <w:shd w:val="clear" w:color="auto" w:fill="EDEDED" w:themeFill="accent3" w:themeFillTint="33"/>
            <w:vAlign w:val="center"/>
          </w:tcPr>
          <w:p w14:paraId="6D18A104" w14:textId="77777777"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Inhibitory power</w:t>
            </w:r>
          </w:p>
        </w:tc>
        <w:tc>
          <w:tcPr>
            <w:tcW w:w="1198" w:type="pct"/>
            <w:tcBorders>
              <w:bottom w:val="single" w:sz="4" w:space="0" w:color="auto"/>
            </w:tcBorders>
            <w:shd w:val="clear" w:color="auto" w:fill="EDEDED" w:themeFill="accent3" w:themeFillTint="33"/>
            <w:vAlign w:val="center"/>
          </w:tcPr>
          <w:p w14:paraId="64E60366" w14:textId="41C68556"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Inhibition zone diameter of extract II</w:t>
            </w:r>
          </w:p>
        </w:tc>
        <w:tc>
          <w:tcPr>
            <w:tcW w:w="1063" w:type="pct"/>
            <w:tcBorders>
              <w:bottom w:val="single" w:sz="4" w:space="0" w:color="auto"/>
            </w:tcBorders>
            <w:shd w:val="clear" w:color="auto" w:fill="EDEDED" w:themeFill="accent3" w:themeFillTint="33"/>
            <w:vAlign w:val="center"/>
          </w:tcPr>
          <w:p w14:paraId="671D3E16" w14:textId="77F61891"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Inhibitory Power</w:t>
            </w:r>
          </w:p>
        </w:tc>
      </w:tr>
      <w:tr w:rsidR="00652DBA" w:rsidRPr="00E2299B" w14:paraId="5F216BE2" w14:textId="77777777" w:rsidTr="001F31BF">
        <w:trPr>
          <w:jc w:val="center"/>
        </w:trPr>
        <w:tc>
          <w:tcPr>
            <w:tcW w:w="667" w:type="pct"/>
            <w:tcBorders>
              <w:top w:val="single" w:sz="4" w:space="0" w:color="auto"/>
              <w:bottom w:val="nil"/>
            </w:tcBorders>
            <w:shd w:val="clear" w:color="auto" w:fill="auto"/>
          </w:tcPr>
          <w:p w14:paraId="29C73C8E"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1</w:t>
            </w:r>
          </w:p>
        </w:tc>
        <w:tc>
          <w:tcPr>
            <w:tcW w:w="1036" w:type="pct"/>
            <w:tcBorders>
              <w:top w:val="single" w:sz="4" w:space="0" w:color="auto"/>
              <w:bottom w:val="nil"/>
            </w:tcBorders>
            <w:shd w:val="clear" w:color="auto" w:fill="auto"/>
          </w:tcPr>
          <w:p w14:paraId="5B6AD06D"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2</w:t>
            </w:r>
          </w:p>
        </w:tc>
        <w:tc>
          <w:tcPr>
            <w:tcW w:w="1036" w:type="pct"/>
            <w:tcBorders>
              <w:top w:val="single" w:sz="4" w:space="0" w:color="auto"/>
              <w:bottom w:val="nil"/>
            </w:tcBorders>
            <w:shd w:val="clear" w:color="auto" w:fill="auto"/>
          </w:tcPr>
          <w:p w14:paraId="2BCAD252"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w:t>
            </w:r>
          </w:p>
        </w:tc>
        <w:tc>
          <w:tcPr>
            <w:tcW w:w="1198" w:type="pct"/>
            <w:tcBorders>
              <w:top w:val="single" w:sz="4" w:space="0" w:color="auto"/>
              <w:bottom w:val="nil"/>
            </w:tcBorders>
          </w:tcPr>
          <w:p w14:paraId="1EF35CC6"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2,5</w:t>
            </w:r>
          </w:p>
        </w:tc>
        <w:tc>
          <w:tcPr>
            <w:tcW w:w="1063" w:type="pct"/>
            <w:tcBorders>
              <w:top w:val="single" w:sz="4" w:space="0" w:color="auto"/>
              <w:bottom w:val="nil"/>
            </w:tcBorders>
          </w:tcPr>
          <w:p w14:paraId="793AC841"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w:t>
            </w:r>
          </w:p>
        </w:tc>
      </w:tr>
      <w:tr w:rsidR="00652DBA" w:rsidRPr="00E2299B" w14:paraId="7BF5962A" w14:textId="77777777" w:rsidTr="001F31BF">
        <w:trPr>
          <w:jc w:val="center"/>
        </w:trPr>
        <w:tc>
          <w:tcPr>
            <w:tcW w:w="667" w:type="pct"/>
            <w:tcBorders>
              <w:top w:val="nil"/>
              <w:bottom w:val="nil"/>
            </w:tcBorders>
            <w:shd w:val="clear" w:color="auto" w:fill="auto"/>
          </w:tcPr>
          <w:p w14:paraId="2034AA20"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2</w:t>
            </w:r>
          </w:p>
        </w:tc>
        <w:tc>
          <w:tcPr>
            <w:tcW w:w="1036" w:type="pct"/>
            <w:tcBorders>
              <w:top w:val="nil"/>
              <w:bottom w:val="nil"/>
            </w:tcBorders>
            <w:shd w:val="clear" w:color="auto" w:fill="auto"/>
          </w:tcPr>
          <w:p w14:paraId="1F6F4C1E"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2</w:t>
            </w:r>
          </w:p>
        </w:tc>
        <w:tc>
          <w:tcPr>
            <w:tcW w:w="1036" w:type="pct"/>
            <w:tcBorders>
              <w:top w:val="nil"/>
              <w:bottom w:val="nil"/>
            </w:tcBorders>
            <w:shd w:val="clear" w:color="auto" w:fill="auto"/>
          </w:tcPr>
          <w:p w14:paraId="0BC7E11C"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w:t>
            </w:r>
          </w:p>
        </w:tc>
        <w:tc>
          <w:tcPr>
            <w:tcW w:w="1198" w:type="pct"/>
            <w:tcBorders>
              <w:top w:val="nil"/>
              <w:bottom w:val="nil"/>
            </w:tcBorders>
          </w:tcPr>
          <w:p w14:paraId="0E13AA38"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3,5</w:t>
            </w:r>
          </w:p>
        </w:tc>
        <w:tc>
          <w:tcPr>
            <w:tcW w:w="1063" w:type="pct"/>
            <w:tcBorders>
              <w:top w:val="nil"/>
              <w:bottom w:val="nil"/>
            </w:tcBorders>
          </w:tcPr>
          <w:p w14:paraId="2375DEEB"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w:t>
            </w:r>
          </w:p>
        </w:tc>
      </w:tr>
      <w:tr w:rsidR="00652DBA" w:rsidRPr="00E2299B" w14:paraId="229D9FC6" w14:textId="77777777" w:rsidTr="001F31BF">
        <w:trPr>
          <w:jc w:val="center"/>
        </w:trPr>
        <w:tc>
          <w:tcPr>
            <w:tcW w:w="667" w:type="pct"/>
            <w:tcBorders>
              <w:top w:val="nil"/>
            </w:tcBorders>
            <w:shd w:val="clear" w:color="auto" w:fill="auto"/>
          </w:tcPr>
          <w:p w14:paraId="178EBD53"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3</w:t>
            </w:r>
          </w:p>
        </w:tc>
        <w:tc>
          <w:tcPr>
            <w:tcW w:w="1036" w:type="pct"/>
            <w:tcBorders>
              <w:top w:val="nil"/>
            </w:tcBorders>
            <w:shd w:val="clear" w:color="auto" w:fill="auto"/>
          </w:tcPr>
          <w:p w14:paraId="5A01DA90"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2,5</w:t>
            </w:r>
          </w:p>
        </w:tc>
        <w:tc>
          <w:tcPr>
            <w:tcW w:w="1036" w:type="pct"/>
            <w:tcBorders>
              <w:top w:val="nil"/>
            </w:tcBorders>
            <w:shd w:val="clear" w:color="auto" w:fill="auto"/>
          </w:tcPr>
          <w:p w14:paraId="142AB61C"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w:t>
            </w:r>
          </w:p>
        </w:tc>
        <w:tc>
          <w:tcPr>
            <w:tcW w:w="1198" w:type="pct"/>
            <w:tcBorders>
              <w:top w:val="nil"/>
            </w:tcBorders>
          </w:tcPr>
          <w:p w14:paraId="459903F3"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3</w:t>
            </w:r>
          </w:p>
        </w:tc>
        <w:tc>
          <w:tcPr>
            <w:tcW w:w="1063" w:type="pct"/>
            <w:tcBorders>
              <w:top w:val="nil"/>
            </w:tcBorders>
          </w:tcPr>
          <w:p w14:paraId="1A394876" w14:textId="77777777" w:rsidR="00652DBA" w:rsidRPr="00E2299B" w:rsidRDefault="00652DBA" w:rsidP="00E2299B">
            <w:pPr>
              <w:autoSpaceDE w:val="0"/>
              <w:autoSpaceDN w:val="0"/>
              <w:adjustRightInd w:val="0"/>
              <w:spacing w:after="0"/>
              <w:jc w:val="center"/>
              <w:rPr>
                <w:rFonts w:ascii="Palatino Linotype" w:hAnsi="Palatino Linotype" w:cs="Times New Roman"/>
                <w:bCs/>
                <w:color w:val="000000"/>
              </w:rPr>
            </w:pPr>
            <w:r w:rsidRPr="00E2299B">
              <w:rPr>
                <w:rFonts w:ascii="Palatino Linotype" w:hAnsi="Palatino Linotype" w:cs="Times New Roman"/>
                <w:bCs/>
                <w:color w:val="000000"/>
              </w:rPr>
              <w:t>-</w:t>
            </w:r>
          </w:p>
        </w:tc>
      </w:tr>
      <w:tr w:rsidR="00652DBA" w:rsidRPr="00E2299B" w14:paraId="6B136AAA" w14:textId="77777777" w:rsidTr="001F31BF">
        <w:trPr>
          <w:trHeight w:val="241"/>
          <w:jc w:val="center"/>
        </w:trPr>
        <w:tc>
          <w:tcPr>
            <w:tcW w:w="667" w:type="pct"/>
            <w:shd w:val="clear" w:color="auto" w:fill="F2F2F2"/>
            <w:vAlign w:val="center"/>
          </w:tcPr>
          <w:p w14:paraId="14073EA8" w14:textId="37197B32"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Average</w:t>
            </w:r>
          </w:p>
        </w:tc>
        <w:tc>
          <w:tcPr>
            <w:tcW w:w="1036" w:type="pct"/>
            <w:shd w:val="clear" w:color="auto" w:fill="F2F2F2"/>
            <w:vAlign w:val="center"/>
          </w:tcPr>
          <w:p w14:paraId="74FB70B2" w14:textId="77777777"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2,2</w:t>
            </w:r>
          </w:p>
        </w:tc>
        <w:tc>
          <w:tcPr>
            <w:tcW w:w="1036" w:type="pct"/>
            <w:shd w:val="clear" w:color="auto" w:fill="F2F2F2"/>
            <w:vAlign w:val="center"/>
          </w:tcPr>
          <w:p w14:paraId="6D1F494F" w14:textId="77777777"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w:t>
            </w:r>
          </w:p>
        </w:tc>
        <w:tc>
          <w:tcPr>
            <w:tcW w:w="1198" w:type="pct"/>
            <w:shd w:val="clear" w:color="auto" w:fill="F2F2F2"/>
            <w:vAlign w:val="center"/>
          </w:tcPr>
          <w:p w14:paraId="644C4439" w14:textId="77777777"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3</w:t>
            </w:r>
          </w:p>
        </w:tc>
        <w:tc>
          <w:tcPr>
            <w:tcW w:w="1063" w:type="pct"/>
            <w:shd w:val="clear" w:color="auto" w:fill="F2F2F2"/>
            <w:vAlign w:val="center"/>
          </w:tcPr>
          <w:p w14:paraId="5CE22788" w14:textId="77777777" w:rsidR="00652DBA" w:rsidRPr="00E2299B" w:rsidRDefault="00652DBA" w:rsidP="00E2299B">
            <w:pPr>
              <w:autoSpaceDE w:val="0"/>
              <w:autoSpaceDN w:val="0"/>
              <w:adjustRightInd w:val="0"/>
              <w:spacing w:after="0"/>
              <w:jc w:val="center"/>
              <w:rPr>
                <w:rFonts w:ascii="Palatino Linotype" w:hAnsi="Palatino Linotype" w:cs="Times New Roman"/>
                <w:b/>
                <w:color w:val="000000"/>
              </w:rPr>
            </w:pPr>
            <w:r w:rsidRPr="00E2299B">
              <w:rPr>
                <w:rFonts w:ascii="Palatino Linotype" w:hAnsi="Palatino Linotype" w:cs="Times New Roman"/>
                <w:b/>
                <w:color w:val="000000"/>
              </w:rPr>
              <w:t>-</w:t>
            </w:r>
          </w:p>
        </w:tc>
      </w:tr>
      <w:bookmarkEnd w:id="3"/>
    </w:tbl>
    <w:p w14:paraId="62EFE8ED" w14:textId="77777777" w:rsidR="00652DBA" w:rsidRPr="00E2299B" w:rsidRDefault="00652DBA" w:rsidP="00E2299B">
      <w:pPr>
        <w:autoSpaceDE w:val="0"/>
        <w:autoSpaceDN w:val="0"/>
        <w:adjustRightInd w:val="0"/>
        <w:spacing w:after="0"/>
        <w:jc w:val="both"/>
        <w:rPr>
          <w:rFonts w:ascii="Palatino Linotype" w:hAnsi="Palatino Linotype" w:cs="Times New Roman"/>
          <w:b/>
        </w:rPr>
      </w:pPr>
    </w:p>
    <w:p w14:paraId="7476A45B" w14:textId="56A99558" w:rsidR="001F31BF" w:rsidRPr="00E2299B" w:rsidRDefault="001F31BF" w:rsidP="00E2299B">
      <w:pPr>
        <w:autoSpaceDE w:val="0"/>
        <w:autoSpaceDN w:val="0"/>
        <w:adjustRightInd w:val="0"/>
        <w:spacing w:after="0"/>
        <w:jc w:val="both"/>
        <w:rPr>
          <w:rFonts w:ascii="Palatino Linotype" w:hAnsi="Palatino Linotype" w:cs="Times New Roman"/>
          <w:bCs/>
        </w:rPr>
      </w:pPr>
      <w:r w:rsidRPr="00E2299B">
        <w:rPr>
          <w:rFonts w:ascii="Palatino Linotype" w:hAnsi="Palatino Linotype" w:cs="Times New Roman"/>
          <w:b/>
        </w:rPr>
        <w:tab/>
      </w:r>
      <w:r w:rsidR="00C605DA" w:rsidRPr="00E2299B">
        <w:rPr>
          <w:rFonts w:ascii="Palatino Linotype" w:hAnsi="Palatino Linotype" w:cs="Times New Roman"/>
          <w:bCs/>
        </w:rPr>
        <w:t>Based on table 2 average zone of inhibition, Extract II showed slightly higher antibacterial effectiveness compared to Extract I. However, the effectiveness of these two extracts is still far below the positive control, indicating that the bioactive potential of these extracts needs to be enhanced or combined to achieve optimal antibacterial results.</w:t>
      </w:r>
    </w:p>
    <w:p w14:paraId="18B9EB7A" w14:textId="77777777" w:rsidR="00DB570A" w:rsidRPr="00E2299B" w:rsidRDefault="00DB570A" w:rsidP="00E2299B">
      <w:pPr>
        <w:autoSpaceDE w:val="0"/>
        <w:autoSpaceDN w:val="0"/>
        <w:adjustRightInd w:val="0"/>
        <w:spacing w:after="0"/>
        <w:jc w:val="both"/>
        <w:rPr>
          <w:rFonts w:ascii="Palatino Linotype" w:hAnsi="Palatino Linotype" w:cs="Times New Roman"/>
          <w:bCs/>
        </w:rPr>
      </w:pPr>
    </w:p>
    <w:bookmarkEnd w:id="4"/>
    <w:p w14:paraId="28C7BEF7" w14:textId="77777777" w:rsidR="00652DBA" w:rsidRPr="00E2299B" w:rsidRDefault="00652DBA" w:rsidP="00E2299B">
      <w:pPr>
        <w:autoSpaceDE w:val="0"/>
        <w:autoSpaceDN w:val="0"/>
        <w:adjustRightInd w:val="0"/>
        <w:spacing w:after="0"/>
        <w:jc w:val="both"/>
        <w:rPr>
          <w:rFonts w:ascii="Palatino Linotype" w:hAnsi="Palatino Linotype" w:cs="Times New Roman"/>
          <w:b/>
          <w:lang w:val="en-US"/>
        </w:rPr>
      </w:pPr>
      <w:r w:rsidRPr="00E2299B">
        <w:rPr>
          <w:rFonts w:ascii="Palatino Linotype" w:hAnsi="Palatino Linotype" w:cs="Times New Roman"/>
          <w:b/>
          <w:lang w:val="en-US"/>
        </w:rPr>
        <w:t>DISCUSSION</w:t>
      </w:r>
    </w:p>
    <w:p w14:paraId="11F5CEAB" w14:textId="77777777" w:rsidR="00652DBA" w:rsidRPr="00E2299B" w:rsidRDefault="00652DBA" w:rsidP="00E2299B">
      <w:pPr>
        <w:autoSpaceDE w:val="0"/>
        <w:autoSpaceDN w:val="0"/>
        <w:adjustRightInd w:val="0"/>
        <w:spacing w:after="0"/>
        <w:jc w:val="both"/>
        <w:rPr>
          <w:rFonts w:ascii="Palatino Linotype" w:hAnsi="Palatino Linotype" w:cs="Times New Roman"/>
          <w:b/>
        </w:rPr>
      </w:pPr>
      <w:r w:rsidRPr="00E2299B">
        <w:rPr>
          <w:rFonts w:ascii="Palatino Linotype" w:hAnsi="Palatino Linotype" w:cs="Times New Roman"/>
          <w:b/>
        </w:rPr>
        <w:t xml:space="preserve">1. Diameter of Zone of Inhibition Against </w:t>
      </w:r>
      <w:r w:rsidRPr="00E2299B">
        <w:rPr>
          <w:rFonts w:ascii="Palatino Linotype" w:hAnsi="Palatino Linotype" w:cs="Times New Roman"/>
          <w:b/>
          <w:i/>
        </w:rPr>
        <w:t xml:space="preserve">Staphylococcus Aereus </w:t>
      </w:r>
      <w:r w:rsidRPr="00E2299B">
        <w:rPr>
          <w:rFonts w:ascii="Palatino Linotype" w:hAnsi="Palatino Linotype" w:cs="Times New Roman"/>
          <w:b/>
        </w:rPr>
        <w:t>Bacteria</w:t>
      </w:r>
    </w:p>
    <w:p w14:paraId="1E062DCC" w14:textId="77777777" w:rsidR="00652DBA" w:rsidRPr="00E2299B" w:rsidRDefault="00652DBA" w:rsidP="00E2299B">
      <w:pPr>
        <w:spacing w:after="0"/>
        <w:jc w:val="both"/>
        <w:rPr>
          <w:rFonts w:ascii="Palatino Linotype" w:hAnsi="Palatino Linotype" w:cs="Times New Roman"/>
          <w:bCs/>
        </w:rPr>
      </w:pPr>
      <w:r w:rsidRPr="00E2299B">
        <w:rPr>
          <w:rFonts w:ascii="Palatino Linotype" w:hAnsi="Palatino Linotype" w:cs="Times New Roman"/>
          <w:b/>
          <w:bCs/>
        </w:rPr>
        <w:tab/>
      </w:r>
      <w:r w:rsidRPr="00E2299B">
        <w:rPr>
          <w:rFonts w:ascii="Palatino Linotype" w:hAnsi="Palatino Linotype" w:cs="Times New Roman"/>
          <w:bCs/>
        </w:rPr>
        <w:t xml:space="preserve">The zone of inhibition of seaweed extract I averaged 2.2 mm, smaller than the disc diameter (6 mm); the zone of inhibition of seaweed extract II averaged 3 mm, smaller than the disc diameter; the diameter of the positive control (amoxicillin) averaged 29.5 mm (larger than the disc diameter) and the negative control (95% ethanol) averaged 4.5 mm (smaller than the disc diameter). In this study, two extraction methods were used: Extract I (using vacuum evaporator) and Extract II (using oven). From the measurement of inhibition zone diameter, Extract I had more significant results with an average inhibition zone diameter of 22 mm, compared to Extract II which was only 3 mm. This shows that the vacuum evaporation method is more effective in producing bioactive compounds that can inhibit the growth of </w:t>
      </w:r>
      <w:r w:rsidRPr="00E2299B">
        <w:rPr>
          <w:rFonts w:ascii="Palatino Linotype" w:hAnsi="Palatino Linotype" w:cs="Times New Roman"/>
          <w:bCs/>
          <w:i/>
        </w:rPr>
        <w:t>Staphylococcus aureus</w:t>
      </w:r>
      <w:r w:rsidRPr="00E2299B">
        <w:rPr>
          <w:rFonts w:ascii="Palatino Linotype" w:hAnsi="Palatino Linotype" w:cs="Times New Roman"/>
          <w:bCs/>
        </w:rPr>
        <w:t>.</w:t>
      </w:r>
    </w:p>
    <w:p w14:paraId="6E179D02" w14:textId="77777777" w:rsidR="00652DBA" w:rsidRPr="00E2299B" w:rsidRDefault="00652DBA" w:rsidP="00E2299B">
      <w:pPr>
        <w:autoSpaceDE w:val="0"/>
        <w:autoSpaceDN w:val="0"/>
        <w:adjustRightInd w:val="0"/>
        <w:spacing w:after="0"/>
        <w:jc w:val="both"/>
        <w:rPr>
          <w:rFonts w:ascii="Palatino Linotype" w:hAnsi="Palatino Linotype" w:cs="Times New Roman"/>
          <w:bCs/>
        </w:rPr>
      </w:pPr>
      <w:r w:rsidRPr="00E2299B">
        <w:rPr>
          <w:rFonts w:ascii="Palatino Linotype" w:hAnsi="Palatino Linotype" w:cs="Times New Roman"/>
          <w:bCs/>
        </w:rPr>
        <w:tab/>
        <w:t xml:space="preserve"> The positive control using amoxicillin had a larger mean zone of inhibition (295 mm), suggesting that bioactive compounds from marine microorganisms have potential but still need to be optimised to approach the effectiveness of conventional antibiotics.</w:t>
      </w:r>
    </w:p>
    <w:p w14:paraId="1AEF54E2" w14:textId="77777777" w:rsidR="00652DBA" w:rsidRPr="00E2299B" w:rsidRDefault="00652DBA" w:rsidP="00E2299B">
      <w:pPr>
        <w:autoSpaceDE w:val="0"/>
        <w:autoSpaceDN w:val="0"/>
        <w:adjustRightInd w:val="0"/>
        <w:spacing w:after="0"/>
        <w:ind w:firstLine="720"/>
        <w:jc w:val="both"/>
        <w:rPr>
          <w:rFonts w:ascii="Palatino Linotype" w:hAnsi="Palatino Linotype" w:cs="Times New Roman"/>
          <w:bCs/>
        </w:rPr>
      </w:pPr>
      <w:r w:rsidRPr="00E2299B">
        <w:rPr>
          <w:rFonts w:ascii="Palatino Linotype" w:hAnsi="Palatino Linotype" w:cs="Times New Roman"/>
          <w:bCs/>
        </w:rPr>
        <w:lastRenderedPageBreak/>
        <w:t xml:space="preserve">The results showed that only Extract I showed significant inhibition against Staphylococcus aureus, while Extract II had almost no inhibition. This highlights the importance of the extraction process used in maintaining the potency of active compounds from marine microorganisms. Over time, the number of bacteria resistant to antibiotics has increased. Nowadays, more and more drugs are made from natural materials. Indonesia's marine natural resources are very rich due to its vast archipelago. With around 6000 types, seaweed is one of the seafood commodities that can be developed (Liputan6.com, 2019). </w:t>
      </w:r>
    </w:p>
    <w:p w14:paraId="6A981F04" w14:textId="77777777" w:rsidR="00652DBA" w:rsidRPr="00E2299B" w:rsidRDefault="00652DBA" w:rsidP="00E2299B">
      <w:pPr>
        <w:autoSpaceDE w:val="0"/>
        <w:autoSpaceDN w:val="0"/>
        <w:adjustRightInd w:val="0"/>
        <w:spacing w:after="0"/>
        <w:ind w:firstLine="720"/>
        <w:jc w:val="both"/>
        <w:rPr>
          <w:rFonts w:ascii="Palatino Linotype" w:hAnsi="Palatino Linotype" w:cs="Times New Roman"/>
          <w:bCs/>
        </w:rPr>
      </w:pPr>
      <w:r w:rsidRPr="00E2299B">
        <w:rPr>
          <w:rFonts w:ascii="Palatino Linotype" w:hAnsi="Palatino Linotype" w:cs="Times New Roman"/>
          <w:bCs/>
        </w:rPr>
        <w:t>Bacterial resistance to conventional antibiotics, such as amoxicillin, is a global health threat. Marine microorganisms are a natural resource that is still little explored in finding new bioactive compounds that can fight resistant pathogenic bacteria. Thus, the theory of antibiotic resistance supports the importance of developing bioactive compounds from marine microorganisms as a new alternative in the therapy of resistant bacterial infections (Pertiwi et al., 2021). Marine microorganisms, such as marine bacteria or fungi, are capable of producing secondary metabolites that have various biological activities, including antibacterial. This theory explains that secondary metabolites are not part of the main metabolic process but are essential for the ecological interaction of microorganisms with their environment, including protection from pathogens or competitors. The biosynthesis process of these secondary metabolites produces unique and effective bioactive compounds, which have the potential to be developed as pharmaceutical ingredients.</w:t>
      </w:r>
    </w:p>
    <w:p w14:paraId="4473B8AA" w14:textId="77777777" w:rsidR="00F657B1" w:rsidRPr="00E2299B" w:rsidRDefault="00F657B1" w:rsidP="00E2299B">
      <w:pPr>
        <w:autoSpaceDE w:val="0"/>
        <w:autoSpaceDN w:val="0"/>
        <w:adjustRightInd w:val="0"/>
        <w:spacing w:after="0"/>
        <w:ind w:firstLine="720"/>
        <w:jc w:val="both"/>
        <w:rPr>
          <w:rFonts w:ascii="Palatino Linotype" w:hAnsi="Palatino Linotype" w:cs="Times New Roman"/>
          <w:bCs/>
        </w:rPr>
      </w:pPr>
    </w:p>
    <w:p w14:paraId="68EAD024" w14:textId="77777777" w:rsidR="00652DBA" w:rsidRPr="00E2299B" w:rsidRDefault="00652DBA" w:rsidP="00E2299B">
      <w:pPr>
        <w:tabs>
          <w:tab w:val="left" w:pos="1260"/>
        </w:tabs>
        <w:autoSpaceDE w:val="0"/>
        <w:autoSpaceDN w:val="0"/>
        <w:adjustRightInd w:val="0"/>
        <w:spacing w:after="0"/>
        <w:jc w:val="both"/>
        <w:rPr>
          <w:rFonts w:ascii="Palatino Linotype" w:hAnsi="Palatino Linotype" w:cs="Times New Roman"/>
          <w:bCs/>
          <w:i/>
        </w:rPr>
      </w:pPr>
      <w:r w:rsidRPr="00E2299B">
        <w:rPr>
          <w:rFonts w:ascii="Palatino Linotype" w:hAnsi="Palatino Linotype" w:cs="Times New Roman"/>
          <w:b/>
          <w:bCs/>
        </w:rPr>
        <w:t xml:space="preserve">2. Measurement of the Inhibition of Seaweed Extract against </w:t>
      </w:r>
      <w:r w:rsidRPr="00E2299B">
        <w:rPr>
          <w:rFonts w:ascii="Palatino Linotype" w:hAnsi="Palatino Linotype" w:cs="Times New Roman"/>
          <w:b/>
          <w:bCs/>
          <w:i/>
        </w:rPr>
        <w:t xml:space="preserve">Staphylococcus Aereus </w:t>
      </w:r>
      <w:r w:rsidRPr="00E2299B">
        <w:rPr>
          <w:rFonts w:ascii="Palatino Linotype" w:hAnsi="Palatino Linotype" w:cs="Times New Roman"/>
          <w:b/>
          <w:bCs/>
        </w:rPr>
        <w:t xml:space="preserve">Bacteria </w:t>
      </w:r>
    </w:p>
    <w:p w14:paraId="133FE04E" w14:textId="77777777" w:rsidR="00652DBA" w:rsidRPr="00E2299B" w:rsidRDefault="00652DBA" w:rsidP="00E2299B">
      <w:pPr>
        <w:autoSpaceDE w:val="0"/>
        <w:autoSpaceDN w:val="0"/>
        <w:adjustRightInd w:val="0"/>
        <w:spacing w:after="0"/>
        <w:ind w:firstLine="720"/>
        <w:jc w:val="both"/>
        <w:rPr>
          <w:rFonts w:ascii="Palatino Linotype" w:hAnsi="Palatino Linotype" w:cs="Times New Roman"/>
          <w:bCs/>
        </w:rPr>
      </w:pPr>
      <w:r w:rsidRPr="00E2299B">
        <w:rPr>
          <w:rFonts w:ascii="Palatino Linotype" w:hAnsi="Palatino Linotype" w:cs="Times New Roman"/>
          <w:bCs/>
        </w:rPr>
        <w:t xml:space="preserve">Table 2 shows the results of the study indicating that the inhibition of seaweed extracts was absent. </w:t>
      </w:r>
      <w:r w:rsidRPr="00E2299B">
        <w:rPr>
          <w:rFonts w:ascii="Palatino Linotype" w:hAnsi="Palatino Linotype" w:cs="Times New Roman"/>
          <w:bCs/>
          <w:i/>
        </w:rPr>
        <w:t xml:space="preserve">Gracillaria sp. </w:t>
      </w:r>
      <w:r w:rsidRPr="00E2299B">
        <w:rPr>
          <w:rFonts w:ascii="Palatino Linotype" w:hAnsi="Palatino Linotype" w:cs="Times New Roman"/>
          <w:bCs/>
        </w:rPr>
        <w:t>seaweed extracts evaporated through a rotary vacuum evaporator and seaweed extracts evaporated through an oven had no inhibition.</w:t>
      </w:r>
      <w:r w:rsidRPr="00E2299B">
        <w:rPr>
          <w:rFonts w:ascii="Palatino Linotype" w:hAnsi="Palatino Linotype" w:cs="Times New Roman"/>
          <w:bCs/>
        </w:rPr>
        <w:tab/>
      </w:r>
    </w:p>
    <w:p w14:paraId="148CC10B" w14:textId="77777777" w:rsidR="00652DBA" w:rsidRPr="00E2299B" w:rsidRDefault="00652DBA" w:rsidP="00E2299B">
      <w:pPr>
        <w:autoSpaceDE w:val="0"/>
        <w:autoSpaceDN w:val="0"/>
        <w:adjustRightInd w:val="0"/>
        <w:spacing w:after="0"/>
        <w:ind w:firstLine="720"/>
        <w:jc w:val="both"/>
        <w:rPr>
          <w:rFonts w:ascii="Palatino Linotype" w:hAnsi="Palatino Linotype" w:cs="Times New Roman"/>
          <w:bCs/>
        </w:rPr>
      </w:pPr>
      <w:r w:rsidRPr="00E2299B">
        <w:rPr>
          <w:rFonts w:ascii="Palatino Linotype" w:hAnsi="Palatino Linotype" w:cs="Times New Roman"/>
          <w:bCs/>
        </w:rPr>
        <w:t>Hydrocolloids are primary metabolites of seaweed chemical compounds. Hydrocolloids are used in various industrial materials, such as agar, alginate, carrageenan, and so on. Seaweed also has secondary metabolites, which are bioactive compounds, that can function as antimicrobials, such as anti-bacterial, antifungal, and antiviral (Loupatty, 2018).</w:t>
      </w:r>
    </w:p>
    <w:p w14:paraId="76D67904" w14:textId="77777777" w:rsidR="00652DBA" w:rsidRPr="00E2299B" w:rsidRDefault="00652DBA" w:rsidP="00E2299B">
      <w:pPr>
        <w:autoSpaceDE w:val="0"/>
        <w:autoSpaceDN w:val="0"/>
        <w:adjustRightInd w:val="0"/>
        <w:spacing w:after="0"/>
        <w:jc w:val="both"/>
        <w:rPr>
          <w:rFonts w:ascii="Palatino Linotype" w:hAnsi="Palatino Linotype" w:cs="Times New Roman"/>
          <w:bCs/>
        </w:rPr>
      </w:pPr>
      <w:r w:rsidRPr="00E2299B">
        <w:rPr>
          <w:rFonts w:ascii="Palatino Linotype" w:hAnsi="Palatino Linotype" w:cs="Times New Roman"/>
          <w:bCs/>
        </w:rPr>
        <w:tab/>
        <w:t xml:space="preserve">Experimental tests were used in this study to determine whether the antibacterial effect of </w:t>
      </w:r>
      <w:r w:rsidRPr="00E2299B">
        <w:rPr>
          <w:rFonts w:ascii="Palatino Linotype" w:hAnsi="Palatino Linotype" w:cs="Times New Roman"/>
          <w:bCs/>
          <w:i/>
        </w:rPr>
        <w:t xml:space="preserve">Gracilaria sp. </w:t>
      </w:r>
      <w:r w:rsidRPr="00E2299B">
        <w:rPr>
          <w:rFonts w:ascii="Palatino Linotype" w:hAnsi="Palatino Linotype" w:cs="Times New Roman"/>
          <w:bCs/>
        </w:rPr>
        <w:t xml:space="preserve">seaweed extract could stop the development of Staphylococcus aureus bacteria. </w:t>
      </w:r>
      <w:r w:rsidRPr="00E2299B">
        <w:rPr>
          <w:rFonts w:ascii="Palatino Linotype" w:hAnsi="Palatino Linotype" w:cs="Times New Roman"/>
          <w:bCs/>
          <w:i/>
        </w:rPr>
        <w:t xml:space="preserve">Staphylococcus aureus </w:t>
      </w:r>
      <w:r w:rsidRPr="00E2299B">
        <w:rPr>
          <w:rFonts w:ascii="Palatino Linotype" w:hAnsi="Palatino Linotype" w:cs="Times New Roman"/>
          <w:bCs/>
        </w:rPr>
        <w:t xml:space="preserve">bacteria were grown in Müller Hinton medium and four filter papers with a diameter of 6 mm were used in this study. To determine whether both methods inhibited the growth of </w:t>
      </w:r>
      <w:r w:rsidRPr="00E2299B">
        <w:rPr>
          <w:rFonts w:ascii="Palatino Linotype" w:hAnsi="Palatino Linotype" w:cs="Times New Roman"/>
          <w:bCs/>
          <w:i/>
        </w:rPr>
        <w:t xml:space="preserve">Shapylococcus aureus </w:t>
      </w:r>
      <w:r w:rsidRPr="00E2299B">
        <w:rPr>
          <w:rFonts w:ascii="Palatino Linotype" w:hAnsi="Palatino Linotype" w:cs="Times New Roman"/>
          <w:bCs/>
        </w:rPr>
        <w:t>bacteria, evaporation of the extracts was carried out using an oven and a rotary vacuum evaporator.</w:t>
      </w:r>
    </w:p>
    <w:p w14:paraId="1CED8D3C" w14:textId="77777777" w:rsidR="00652DBA" w:rsidRPr="00E2299B" w:rsidRDefault="00652DBA" w:rsidP="00E2299B">
      <w:pPr>
        <w:autoSpaceDE w:val="0"/>
        <w:autoSpaceDN w:val="0"/>
        <w:adjustRightInd w:val="0"/>
        <w:spacing w:after="0"/>
        <w:jc w:val="both"/>
        <w:rPr>
          <w:rFonts w:ascii="Palatino Linotype" w:hAnsi="Palatino Linotype" w:cs="Times New Roman"/>
          <w:bCs/>
        </w:rPr>
      </w:pPr>
      <w:r w:rsidRPr="00E2299B">
        <w:rPr>
          <w:rFonts w:ascii="Palatino Linotype" w:hAnsi="Palatino Linotype" w:cs="Times New Roman"/>
          <w:bCs/>
        </w:rPr>
        <w:tab/>
        <w:t xml:space="preserve">The results showed that inhibition zones created through evaporation methods using ovens and rotary vacuum evaporators could not prevent the spread of </w:t>
      </w:r>
      <w:r w:rsidRPr="00E2299B">
        <w:rPr>
          <w:rFonts w:ascii="Palatino Linotype" w:hAnsi="Palatino Linotype" w:cs="Times New Roman"/>
          <w:bCs/>
          <w:i/>
        </w:rPr>
        <w:t xml:space="preserve">Staphylococcus aureus </w:t>
      </w:r>
      <w:r w:rsidRPr="00E2299B">
        <w:rPr>
          <w:rFonts w:ascii="Palatino Linotype" w:hAnsi="Palatino Linotype" w:cs="Times New Roman"/>
          <w:bCs/>
        </w:rPr>
        <w:t xml:space="preserve">bacteria. Bell's research in 1984 found that a substance has antibacterial properties when its inhibition diameter is greater than or equal to 6 mm. The results showed that the inhibition zone of </w:t>
      </w:r>
      <w:r w:rsidRPr="00E2299B">
        <w:rPr>
          <w:rFonts w:ascii="Palatino Linotype" w:hAnsi="Palatino Linotype" w:cs="Times New Roman"/>
          <w:bCs/>
          <w:i/>
        </w:rPr>
        <w:t xml:space="preserve">Gracilaria sp. </w:t>
      </w:r>
      <w:r w:rsidRPr="00E2299B">
        <w:rPr>
          <w:rFonts w:ascii="Palatino Linotype" w:hAnsi="Palatino Linotype" w:cs="Times New Roman"/>
          <w:bCs/>
        </w:rPr>
        <w:t xml:space="preserve">extract evaporated by oven was 2.5 mm, 3.5 mm, and 3 mm in each repetition, and the inhibition zone of </w:t>
      </w:r>
      <w:r w:rsidRPr="00E2299B">
        <w:rPr>
          <w:rFonts w:ascii="Palatino Linotype" w:hAnsi="Palatino Linotype" w:cs="Times New Roman"/>
          <w:bCs/>
          <w:i/>
        </w:rPr>
        <w:t xml:space="preserve">Gracilaria sp. </w:t>
      </w:r>
      <w:r w:rsidRPr="00E2299B">
        <w:rPr>
          <w:rFonts w:ascii="Palatino Linotype" w:hAnsi="Palatino Linotype" w:cs="Times New Roman"/>
          <w:bCs/>
        </w:rPr>
        <w:t>extract evaporated by vacuum rotar was 3 mm.</w:t>
      </w:r>
    </w:p>
    <w:p w14:paraId="604FF729" w14:textId="77777777" w:rsidR="00652DBA" w:rsidRPr="00E2299B" w:rsidRDefault="00652DBA" w:rsidP="00E2299B">
      <w:pPr>
        <w:autoSpaceDE w:val="0"/>
        <w:autoSpaceDN w:val="0"/>
        <w:adjustRightInd w:val="0"/>
        <w:spacing w:after="0"/>
        <w:ind w:firstLine="720"/>
        <w:jc w:val="both"/>
        <w:rPr>
          <w:rFonts w:ascii="Palatino Linotype" w:hAnsi="Palatino Linotype" w:cs="Times New Roman"/>
          <w:bCs/>
        </w:rPr>
      </w:pPr>
      <w:r w:rsidRPr="00E2299B">
        <w:rPr>
          <w:rFonts w:ascii="Palatino Linotype" w:hAnsi="Palatino Linotype" w:cs="Times New Roman"/>
          <w:bCs/>
        </w:rPr>
        <w:lastRenderedPageBreak/>
        <w:t xml:space="preserve">In this study, the minimal inhibitory concentration (MIC) of amoxicillin proved to be highly effective in stopping the growth of </w:t>
      </w:r>
      <w:r w:rsidRPr="00E2299B">
        <w:rPr>
          <w:rFonts w:ascii="Palatino Linotype" w:hAnsi="Palatino Linotype" w:cs="Times New Roman"/>
          <w:bCs/>
          <w:i/>
        </w:rPr>
        <w:t xml:space="preserve">Staphylococcus aureus </w:t>
      </w:r>
      <w:r w:rsidRPr="00E2299B">
        <w:rPr>
          <w:rFonts w:ascii="Palatino Linotype" w:hAnsi="Palatino Linotype" w:cs="Times New Roman"/>
          <w:bCs/>
        </w:rPr>
        <w:t xml:space="preserve">bacteria, with repetitions of 29.1 mm, 31.5 mm, and 27.5 mm, respectively. However, </w:t>
      </w:r>
      <w:r w:rsidRPr="00E2299B">
        <w:rPr>
          <w:rFonts w:ascii="Palatino Linotype" w:hAnsi="Palatino Linotype" w:cs="Times New Roman"/>
          <w:bCs/>
          <w:i/>
        </w:rPr>
        <w:t>Gracilaria sp</w:t>
      </w:r>
      <w:r w:rsidRPr="00E2299B">
        <w:rPr>
          <w:rFonts w:ascii="Palatino Linotype" w:hAnsi="Palatino Linotype" w:cs="Times New Roman"/>
          <w:bCs/>
        </w:rPr>
        <w:t xml:space="preserve">. did not have the ability to stop the growth of </w:t>
      </w:r>
      <w:r w:rsidRPr="00E2299B">
        <w:rPr>
          <w:rFonts w:ascii="Palatino Linotype" w:hAnsi="Palatino Linotype" w:cs="Times New Roman"/>
          <w:bCs/>
          <w:i/>
        </w:rPr>
        <w:t xml:space="preserve">Staphylococcus aereus </w:t>
      </w:r>
      <w:r w:rsidRPr="00E2299B">
        <w:rPr>
          <w:rFonts w:ascii="Palatino Linotype" w:hAnsi="Palatino Linotype" w:cs="Times New Roman"/>
          <w:bCs/>
        </w:rPr>
        <w:t xml:space="preserve">bacteria. </w:t>
      </w:r>
    </w:p>
    <w:p w14:paraId="76C9BADB" w14:textId="77777777" w:rsidR="00652DBA" w:rsidRPr="00E2299B" w:rsidRDefault="00652DBA" w:rsidP="00E2299B">
      <w:pPr>
        <w:autoSpaceDE w:val="0"/>
        <w:autoSpaceDN w:val="0"/>
        <w:adjustRightInd w:val="0"/>
        <w:spacing w:after="0"/>
        <w:ind w:firstLine="720"/>
        <w:jc w:val="both"/>
        <w:rPr>
          <w:rFonts w:ascii="Palatino Linotype" w:hAnsi="Palatino Linotype" w:cs="Times New Roman"/>
          <w:bCs/>
        </w:rPr>
      </w:pPr>
      <w:r w:rsidRPr="00E2299B">
        <w:rPr>
          <w:rFonts w:ascii="Palatino Linotype" w:hAnsi="Palatino Linotype" w:cs="Times New Roman"/>
          <w:bCs/>
        </w:rPr>
        <w:t xml:space="preserve">The marine environment, with extreme conditions such as high pressure, low temperature, and lack of light, encourages microorganisms to develop biochemical adaptations that produce unique compounds (Suparman &amp; Retnaningrum, 2023). This theory supports the use of marine microorganisms as a source of bioactive ingredients that are not found in terrestrial microorganisms. This is relevant to this study because bioactive compounds from marine microorganisms are proven to be able to inhibit the growth of </w:t>
      </w:r>
      <w:r w:rsidRPr="00E2299B">
        <w:rPr>
          <w:rFonts w:ascii="Palatino Linotype" w:hAnsi="Palatino Linotype" w:cs="Times New Roman"/>
          <w:bCs/>
          <w:i/>
        </w:rPr>
        <w:t>Staphylococcus aureus</w:t>
      </w:r>
      <w:r w:rsidRPr="00E2299B">
        <w:rPr>
          <w:rFonts w:ascii="Palatino Linotype" w:hAnsi="Palatino Linotype" w:cs="Times New Roman"/>
          <w:bCs/>
        </w:rPr>
        <w:t>. Effective extraction methods are key in maintaining the potency of bioactive compounds. Vacuum evaporators have been shown to be better than ovens in maintaining the activity of compounds from marine microorganisms (Lisangan et al., 2023; Wayan et al., 2017). This theory explains the importance of extraction and purification techniques in producing stable and effective bioactive compounds for pharmaceutical applications.</w:t>
      </w:r>
    </w:p>
    <w:p w14:paraId="200987C1" w14:textId="77777777" w:rsidR="00F657B1" w:rsidRPr="00E2299B" w:rsidRDefault="00F657B1" w:rsidP="00E2299B">
      <w:pPr>
        <w:autoSpaceDE w:val="0"/>
        <w:autoSpaceDN w:val="0"/>
        <w:adjustRightInd w:val="0"/>
        <w:spacing w:after="0"/>
        <w:ind w:firstLine="720"/>
        <w:jc w:val="both"/>
        <w:rPr>
          <w:rFonts w:ascii="Palatino Linotype" w:hAnsi="Palatino Linotype" w:cs="Times New Roman"/>
          <w:bCs/>
        </w:rPr>
      </w:pPr>
    </w:p>
    <w:p w14:paraId="34125108" w14:textId="77777777" w:rsidR="00652DBA" w:rsidRPr="00E2299B" w:rsidRDefault="00652DBA" w:rsidP="00E2299B">
      <w:pPr>
        <w:autoSpaceDE w:val="0"/>
        <w:autoSpaceDN w:val="0"/>
        <w:adjustRightInd w:val="0"/>
        <w:spacing w:after="0"/>
        <w:jc w:val="both"/>
        <w:rPr>
          <w:rFonts w:ascii="Palatino Linotype" w:hAnsi="Palatino Linotype" w:cs="Times New Roman"/>
          <w:b/>
          <w:bCs/>
        </w:rPr>
      </w:pPr>
      <w:r w:rsidRPr="00E2299B">
        <w:rPr>
          <w:rFonts w:ascii="Palatino Linotype" w:hAnsi="Palatino Linotype" w:cs="Times New Roman"/>
          <w:b/>
          <w:bCs/>
        </w:rPr>
        <w:t>CONCLUSIONS</w:t>
      </w:r>
    </w:p>
    <w:p w14:paraId="3DBB61EB" w14:textId="77777777" w:rsidR="00652DBA" w:rsidRPr="00E2299B" w:rsidRDefault="00652DBA" w:rsidP="00E2299B">
      <w:pPr>
        <w:spacing w:after="0"/>
        <w:ind w:firstLine="720"/>
        <w:jc w:val="both"/>
        <w:rPr>
          <w:rFonts w:ascii="Palatino Linotype" w:hAnsi="Palatino Linotype" w:cs="Times New Roman"/>
        </w:rPr>
      </w:pPr>
      <w:r w:rsidRPr="00E2299B">
        <w:rPr>
          <w:rFonts w:ascii="Palatino Linotype" w:hAnsi="Palatino Linotype" w:cs="Times New Roman"/>
        </w:rPr>
        <w:t xml:space="preserve">According to the results of the study, </w:t>
      </w:r>
      <w:r w:rsidRPr="00E2299B">
        <w:rPr>
          <w:rFonts w:ascii="Palatino Linotype" w:hAnsi="Palatino Linotype" w:cs="Times New Roman"/>
          <w:i/>
        </w:rPr>
        <w:t>Gracilaria sp</w:t>
      </w:r>
      <w:r w:rsidRPr="00E2299B">
        <w:rPr>
          <w:rFonts w:ascii="Palatino Linotype" w:hAnsi="Palatino Linotype" w:cs="Times New Roman"/>
        </w:rPr>
        <w:t xml:space="preserve">. has no antimicrobial against Staphylococcus aureus. However, like other seaweeds, it is used to kill bacteria and is used as food, dentistry materials such as alginate, and cosmetic materials. This study showed that bioactive compounds prepared through extraction using a vacuum evaporator had greater inhibition of </w:t>
      </w:r>
      <w:r w:rsidRPr="00E2299B">
        <w:rPr>
          <w:rFonts w:ascii="Palatino Linotype" w:hAnsi="Palatino Linotype" w:cs="Times New Roman"/>
          <w:i/>
        </w:rPr>
        <w:t>Staphylococcus aureus</w:t>
      </w:r>
      <w:r w:rsidRPr="00E2299B">
        <w:rPr>
          <w:rFonts w:ascii="Palatino Linotype" w:hAnsi="Palatino Linotype" w:cs="Times New Roman"/>
        </w:rPr>
        <w:t>. This suggests that marine microorganisms can be a source of bioactive ingredients for the pharmaceutical industry. Marine microorganisms can help develop new antimicrobial therapies by supporting theories of antibiotic resistance, secondary metabolites, and the importance of extraction methods.</w:t>
      </w:r>
    </w:p>
    <w:p w14:paraId="58A84F2F" w14:textId="77777777" w:rsidR="00652DBA" w:rsidRPr="00E2299B" w:rsidRDefault="00652DBA" w:rsidP="00E2299B">
      <w:pPr>
        <w:autoSpaceDE w:val="0"/>
        <w:autoSpaceDN w:val="0"/>
        <w:adjustRightInd w:val="0"/>
        <w:spacing w:after="0"/>
        <w:ind w:firstLine="567"/>
        <w:jc w:val="both"/>
        <w:rPr>
          <w:rFonts w:ascii="Palatino Linotype" w:hAnsi="Palatino Linotype" w:cs="Times New Roman"/>
          <w:lang w:val="en-US"/>
        </w:rPr>
      </w:pPr>
    </w:p>
    <w:p w14:paraId="5C240AB0" w14:textId="2CE168A7" w:rsidR="00E2299B" w:rsidRPr="00E2299B" w:rsidRDefault="00652DBA" w:rsidP="00E2299B">
      <w:pPr>
        <w:tabs>
          <w:tab w:val="left" w:pos="2580"/>
          <w:tab w:val="center" w:pos="3969"/>
          <w:tab w:val="left" w:pos="6345"/>
        </w:tabs>
        <w:spacing w:after="0"/>
        <w:rPr>
          <w:rFonts w:ascii="Palatino Linotype" w:hAnsi="Palatino Linotype" w:cs="Times New Roman"/>
          <w:shd w:val="clear" w:color="auto" w:fill="FFFFFF"/>
          <w:lang w:val="en-US"/>
        </w:rPr>
      </w:pPr>
      <w:r w:rsidRPr="00E2299B">
        <w:rPr>
          <w:rFonts w:ascii="Palatino Linotype" w:hAnsi="Palatino Linotype" w:cs="Times New Roman"/>
          <w:b/>
          <w:lang w:val="en-US"/>
        </w:rPr>
        <w:t>REFERENCES</w:t>
      </w:r>
      <w:bookmarkEnd w:id="0"/>
      <w:bookmarkEnd w:id="1"/>
    </w:p>
    <w:p w14:paraId="6DBAF83F"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Arlinta, D. (2023, December 14). Indonesian Marine Biota Potentially Developed as Medicinal Raw Materials. Kompas.id; Kompas Daily. </w:t>
      </w:r>
      <w:hyperlink r:id="rId9" w:history="1">
        <w:r w:rsidRPr="00E2299B">
          <w:rPr>
            <w:rStyle w:val="Hyperlink"/>
            <w:rFonts w:ascii="Palatino Linotype" w:hAnsi="Palatino Linotype" w:cs="Times New Roman"/>
          </w:rPr>
          <w:t>https://www.kompas.id/baca/humaniora/2023/12/14/biota-laut-indonesia-berpotensi-dikembangkan-sebagai-bahan-baku-obat</w:t>
        </w:r>
      </w:hyperlink>
    </w:p>
    <w:p w14:paraId="38D281D2"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Business Researc. (2023). Marine Pharmaceuticals Market Report, 2023 | Forecast, 2030. Www.businessresearchinsights.com. </w:t>
      </w:r>
      <w:hyperlink r:id="rId10" w:history="1">
        <w:r w:rsidRPr="00E2299B">
          <w:rPr>
            <w:rStyle w:val="Hyperlink"/>
            <w:rFonts w:ascii="Palatino Linotype" w:hAnsi="Palatino Linotype" w:cs="Times New Roman"/>
          </w:rPr>
          <w:t>https://www.businessresearchinsights.com/market-reports/marine-pharmaceuticals-market-100954</w:t>
        </w:r>
      </w:hyperlink>
    </w:p>
    <w:p w14:paraId="7ECB35B8"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Channel, P., Rusli, D., Fajri, A., Sri, N., Sari, N., &amp; Asmasari. (2016). Endocombion Fungus of the Starfish (Asterias Forbesi) as a New Antibacterial Alternative to Bacteria that Cause Infection. As-Syifaa, 08(2). </w:t>
      </w:r>
      <w:hyperlink r:id="rId11" w:history="1">
        <w:r w:rsidRPr="00E2299B">
          <w:rPr>
            <w:rStyle w:val="Hyperlink"/>
            <w:rFonts w:ascii="Palatino Linotype" w:hAnsi="Palatino Linotype" w:cs="Times New Roman"/>
          </w:rPr>
          <w:t>https://jurnal.farmasi.umi.ac.id/index.php/as-syifaa/article/viewFile/199/pdf</w:t>
        </w:r>
      </w:hyperlink>
    </w:p>
    <w:p w14:paraId="54D8CB47" w14:textId="77777777" w:rsidR="00E2299B" w:rsidRPr="00E2299B" w:rsidRDefault="00E2299B" w:rsidP="00E2299B">
      <w:pPr>
        <w:tabs>
          <w:tab w:val="left" w:pos="709"/>
        </w:tabs>
        <w:spacing w:after="0"/>
        <w:ind w:left="709" w:hanging="709"/>
        <w:jc w:val="both"/>
        <w:rPr>
          <w:rFonts w:ascii="Palatino Linotype" w:hAnsi="Palatino Linotype" w:cs="Times New Roman"/>
          <w:color w:val="0D0D0D"/>
          <w:shd w:val="clear" w:color="auto" w:fill="FFFFFF"/>
        </w:rPr>
      </w:pPr>
      <w:r w:rsidRPr="00E2299B">
        <w:rPr>
          <w:rFonts w:ascii="Palatino Linotype" w:hAnsi="Palatino Linotype" w:cs="Times New Roman"/>
          <w:color w:val="0D0D0D"/>
          <w:shd w:val="clear" w:color="auto" w:fill="FFFFFF"/>
        </w:rPr>
        <w:t xml:space="preserve">Feling, R. H., Buchanan, G. O., Mincer, T. J., Kauffman, C. A., Jensen, P. R., &amp; Fenical, W. (2003). Salinosporamide A: A highly cytotoxic proteasome inhibitor from a novel microbial source, </w:t>
      </w:r>
      <w:r w:rsidRPr="00E2299B">
        <w:rPr>
          <w:rFonts w:ascii="Palatino Linotype" w:hAnsi="Palatino Linotype" w:cs="Times New Roman"/>
          <w:color w:val="0D0D0D"/>
          <w:shd w:val="clear" w:color="auto" w:fill="FFFFFF"/>
        </w:rPr>
        <w:lastRenderedPageBreak/>
        <w:t>a marine bacterium of the new genus Salinospora. Angewandte Chemie International Edition, 42(3), 355-357.</w:t>
      </w:r>
    </w:p>
    <w:p w14:paraId="1BFB5151"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Flora, M., &amp; Singkoh, O. (2011). Antibacterial Activity of Caulerpa Racemosa Marine Algae Extract from Nain Island Waters. Journal of Tropical Fisheries and Marine, 3(3).</w:t>
      </w:r>
    </w:p>
    <w:p w14:paraId="136B40D5" w14:textId="77777777" w:rsidR="00E2299B" w:rsidRPr="00E2299B" w:rsidRDefault="00E2299B" w:rsidP="00E2299B">
      <w:pPr>
        <w:tabs>
          <w:tab w:val="left" w:pos="709"/>
        </w:tabs>
        <w:spacing w:after="0"/>
        <w:ind w:left="709" w:hanging="709"/>
        <w:jc w:val="both"/>
        <w:rPr>
          <w:rFonts w:ascii="Palatino Linotype" w:hAnsi="Palatino Linotype" w:cs="Times New Roman"/>
          <w:b/>
          <w:bCs/>
          <w:lang w:val="en-US"/>
        </w:rPr>
      </w:pPr>
      <w:r w:rsidRPr="00E2299B">
        <w:rPr>
          <w:rFonts w:ascii="Palatino Linotype" w:hAnsi="Palatino Linotype" w:cs="Times New Roman"/>
          <w:color w:val="0D0D0D"/>
          <w:shd w:val="clear" w:color="auto" w:fill="FFFFFF"/>
        </w:rPr>
        <w:t>Global Marine Pharmaceuticals Market Report (2022). Market Growth and Future Trends in Marine Pharmaceuticals. Business Insights Report.</w:t>
      </w:r>
    </w:p>
    <w:p w14:paraId="14A2EBE5"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Gulder, T. A. M., &amp; Moore, B. S. (2010). Salinosporamide Natural Products: Potent 20 S Proteasome Inhibitors as Promising Cancer Chemotherapeutics. Angewandte Chemie International Edition, 49(49), 9346-9367. </w:t>
      </w:r>
      <w:hyperlink r:id="rId12" w:history="1">
        <w:r w:rsidRPr="00E2299B">
          <w:rPr>
            <w:rStyle w:val="Hyperlink"/>
            <w:rFonts w:ascii="Palatino Linotype" w:hAnsi="Palatino Linotype" w:cs="Times New Roman"/>
          </w:rPr>
          <w:t>https://doi.org/10.1002/anie.201000728</w:t>
        </w:r>
      </w:hyperlink>
    </w:p>
    <w:p w14:paraId="494072BA"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Heghe, J. V., &amp; Sirois, C. (2023, November 9). Global Marine Pharmaceuticals Market 2024-2028. Giiresearch.com. </w:t>
      </w:r>
      <w:hyperlink r:id="rId13" w:history="1">
        <w:r w:rsidRPr="00E2299B">
          <w:rPr>
            <w:rStyle w:val="Hyperlink"/>
            <w:rFonts w:ascii="Palatino Linotype" w:hAnsi="Palatino Linotype" w:cs="Times New Roman"/>
          </w:rPr>
          <w:t>https://www.giiresearch.com/report/infi1384516-global-marine-pharmaceuticals-market.html</w:t>
        </w:r>
      </w:hyperlink>
    </w:p>
    <w:p w14:paraId="487E2ECC"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Jha, S. N. (2023). Fact.MR - Marine-derived Pharmaceuticals Market is Focusing on the Key Segments, which are Drug Type, Source, Sales Channel and Region - Global Market Insights 2023 to 2033. www.factmr.com. </w:t>
      </w:r>
      <w:hyperlink r:id="rId14" w:history="1">
        <w:r w:rsidRPr="00E2299B">
          <w:rPr>
            <w:rStyle w:val="Hyperlink"/>
            <w:rFonts w:ascii="Palatino Linotype" w:hAnsi="Palatino Linotype" w:cs="Times New Roman"/>
          </w:rPr>
          <w:t>https://www.factmr.com/report/marine-derived-pharmaceuticals-market</w:t>
        </w:r>
      </w:hyperlink>
    </w:p>
    <w:p w14:paraId="2BD63129"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Julyasih, S. (2022). Bioactive Compounds of Several Seaweed Species and Their Inhibitory Activity Against Aspergillus Flavus Fungi in Maize (Zea mays L.) Plants. Unram Fisheries Journal, 12(3), 450-456. </w:t>
      </w:r>
      <w:hyperlink r:id="rId15" w:history="1">
        <w:r w:rsidRPr="00E2299B">
          <w:rPr>
            <w:rStyle w:val="Hyperlink"/>
            <w:rFonts w:ascii="Palatino Linotype" w:hAnsi="Palatino Linotype" w:cs="Times New Roman"/>
          </w:rPr>
          <w:t>https://doi.org/10.29303/jp.v12i3.363</w:t>
        </w:r>
      </w:hyperlink>
    </w:p>
    <w:p w14:paraId="5328BEB2"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Kusmarwati, A., Yenni, Y., &amp; Indriati, N. (2017). Antibiotic Resistance in Vibrio Parahaemolyticus from Vaname Shrimp from the North Coast of Java for the Export Market. Journal of Marine and Fisheries Postharvest and Biotechnology, 12(2). </w:t>
      </w:r>
      <w:hyperlink r:id="rId16" w:history="1">
        <w:r w:rsidRPr="00E2299B">
          <w:rPr>
            <w:rStyle w:val="Hyperlink"/>
            <w:rFonts w:ascii="Palatino Linotype" w:hAnsi="Palatino Linotype" w:cs="Times New Roman"/>
          </w:rPr>
          <w:t>https://doi.org/10.15578/jpbkp.v12i2.352</w:t>
        </w:r>
      </w:hyperlink>
    </w:p>
    <w:p w14:paraId="5D289378" w14:textId="77777777" w:rsidR="00E2299B" w:rsidRPr="00E2299B" w:rsidRDefault="00E2299B" w:rsidP="00E2299B">
      <w:pPr>
        <w:tabs>
          <w:tab w:val="left" w:pos="709"/>
        </w:tabs>
        <w:spacing w:after="0"/>
        <w:ind w:left="709" w:hanging="709"/>
        <w:jc w:val="both"/>
        <w:rPr>
          <w:rFonts w:ascii="Palatino Linotype" w:hAnsi="Palatino Linotype" w:cs="Times New Roman"/>
          <w:color w:val="0D0D0D"/>
          <w:shd w:val="clear" w:color="auto" w:fill="FFFFFF"/>
        </w:rPr>
      </w:pPr>
      <w:r w:rsidRPr="00E2299B">
        <w:rPr>
          <w:rFonts w:ascii="Palatino Linotype" w:hAnsi="Palatino Linotype" w:cs="Times New Roman"/>
          <w:color w:val="0D0D0D"/>
          <w:shd w:val="clear" w:color="auto" w:fill="FFFFFF"/>
        </w:rPr>
        <w:t>Leal, M. C., Puga, J., Serôdio, J., Gomes, N. C. M., &amp; Calado, R. (2019). Trends in the discovery of new marine natural products from invertebrates over the last two decades - where and what are we bioprospecting?. PLoS ONE, 7(1), e30580.</w:t>
      </w:r>
    </w:p>
    <w:p w14:paraId="78AE5681"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Liputan6.com. (2019). World's Largest, Indonesia's Seaweed Habitat Area Reaches 1.2 million Ha. Seaweednetwork.id. </w:t>
      </w:r>
      <w:hyperlink r:id="rId17" w:history="1">
        <w:r w:rsidRPr="00E2299B">
          <w:rPr>
            <w:rStyle w:val="Hyperlink"/>
            <w:rFonts w:ascii="Palatino Linotype" w:hAnsi="Palatino Linotype" w:cs="Times New Roman"/>
          </w:rPr>
          <w:t>https://seaweednetwork.id/terbesar-di-dunia-luas-habitat-rumput-laut-indonesia-capai-1-2-juta-ha</w:t>
        </w:r>
      </w:hyperlink>
    </w:p>
    <w:p w14:paraId="533992FD"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Lisangan, M., Cepeda, G., Roreng, M., &amp; Rumayomi, J. (2023). Characterisation and Identification of Bioactive Compounds of Kebar Grass (Biophytum petersianum Klotszch) Leaves Extracts. Indonesian Plant Journal, 16(2), 2354-8797.</w:t>
      </w:r>
    </w:p>
    <w:p w14:paraId="62C8E520"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Loupatty, V. D. (2018). Study of Primary and Secondary Metabolite Compounds from Seaweed as Industrial Raw Materials. Unpatti.ac.id. </w:t>
      </w:r>
      <w:hyperlink r:id="rId18" w:history="1">
        <w:r w:rsidRPr="00E2299B">
          <w:rPr>
            <w:rStyle w:val="Hyperlink"/>
            <w:rFonts w:ascii="Palatino Linotype" w:hAnsi="Palatino Linotype" w:cs="Times New Roman"/>
          </w:rPr>
          <w:t>https://ejournal.unpatti.ac.id/ppr_paperinfo_lnk.php?id=546</w:t>
        </w:r>
      </w:hyperlink>
    </w:p>
    <w:p w14:paraId="500AE812" w14:textId="77777777" w:rsidR="00E2299B" w:rsidRPr="00E2299B" w:rsidRDefault="00E2299B" w:rsidP="00E2299B">
      <w:pPr>
        <w:tabs>
          <w:tab w:val="left" w:pos="709"/>
        </w:tabs>
        <w:spacing w:after="0"/>
        <w:ind w:left="709" w:hanging="709"/>
        <w:jc w:val="both"/>
        <w:rPr>
          <w:rFonts w:ascii="Palatino Linotype" w:hAnsi="Palatino Linotype" w:cs="Times New Roman"/>
          <w:color w:val="0D0D0D"/>
          <w:shd w:val="clear" w:color="auto" w:fill="FFFFFF"/>
        </w:rPr>
      </w:pPr>
      <w:r w:rsidRPr="00E2299B">
        <w:rPr>
          <w:rFonts w:ascii="Palatino Linotype" w:hAnsi="Palatino Linotype" w:cs="Times New Roman"/>
          <w:color w:val="0D0D0D"/>
          <w:shd w:val="clear" w:color="auto" w:fill="FFFFFF"/>
        </w:rPr>
        <w:t>Newman, D. J., &amp; Cragg, G. M. (2020). Marine-sourced bioactive agents: Past, present, and future. Marine Drugs, 18(2), 61.</w:t>
      </w:r>
    </w:p>
    <w:p w14:paraId="4D75E683"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Pertiwi, M., Wulandari, K. K., Rodja, H. A., Urjiyah, U. G., Fibriani, E., &amp; Putri, F. A. (2021). Conventional and Advanced Diagnostic Techniques for Bacterial Infections and Antibacterial Resistance in Indonesia. Journal of Widya Biologi, 12(02), 98-116. </w:t>
      </w:r>
      <w:hyperlink r:id="rId19" w:history="1">
        <w:r w:rsidRPr="00E2299B">
          <w:rPr>
            <w:rStyle w:val="Hyperlink"/>
            <w:rFonts w:ascii="Palatino Linotype" w:hAnsi="Palatino Linotype" w:cs="Times New Roman"/>
          </w:rPr>
          <w:t>https://doi.org/10.32795/widyabiologi.v12i02.2143</w:t>
        </w:r>
      </w:hyperlink>
    </w:p>
    <w:p w14:paraId="3F18FF9D"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lastRenderedPageBreak/>
        <w:t xml:space="preserve">Purnama, S. (2023, November 7). BRIN explores the potential of marine biota for pharmaceutical raw materials. Antara News; ANTARA. </w:t>
      </w:r>
      <w:hyperlink r:id="rId20" w:history="1">
        <w:r w:rsidRPr="00E2299B">
          <w:rPr>
            <w:rStyle w:val="Hyperlink"/>
            <w:rFonts w:ascii="Palatino Linotype" w:hAnsi="Palatino Linotype" w:cs="Times New Roman"/>
          </w:rPr>
          <w:t>https://www.antaranews.com/berita/3811323/brin-gali-potensi-biota-laut-untuk-bahan-baku-farmasi</w:t>
        </w:r>
      </w:hyperlink>
    </w:p>
    <w:p w14:paraId="3D130393" w14:textId="77777777" w:rsidR="00E2299B" w:rsidRPr="00E2299B" w:rsidRDefault="00E2299B" w:rsidP="00E2299B">
      <w:pPr>
        <w:tabs>
          <w:tab w:val="left" w:pos="709"/>
        </w:tabs>
        <w:spacing w:after="0"/>
        <w:ind w:left="709" w:hanging="709"/>
        <w:jc w:val="both"/>
        <w:rPr>
          <w:rFonts w:ascii="Palatino Linotype" w:hAnsi="Palatino Linotype" w:cs="Times New Roman"/>
          <w:color w:val="0D0D0D"/>
          <w:shd w:val="clear" w:color="auto" w:fill="FFFFFF"/>
        </w:rPr>
      </w:pPr>
      <w:r w:rsidRPr="00E2299B">
        <w:rPr>
          <w:rFonts w:ascii="Palatino Linotype" w:hAnsi="Palatino Linotype" w:cs="Times New Roman"/>
          <w:color w:val="0D0D0D"/>
          <w:shd w:val="clear" w:color="auto" w:fill="FFFFFF"/>
        </w:rPr>
        <w:t>Sharma, R., Singh, V., &amp; Kulshrestha, S. (2021). Exploring the therapeutic potential of marine microorganisms: Present status and future prospects. Journal of Biotechnology &amp; Biomedicine, 6(2), 45-60.</w:t>
      </w:r>
    </w:p>
    <w:p w14:paraId="1D7CFA91"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Suparman, N. F. N., &amp; Retnaningrum, E. (2023). Isolation, Identification, and Potential Test of Marine Bacteria as Bioremediation Agent of Heavy Metal Chromium (Cr). Journal of Natural Resources and Environment, 10(3), 114-125. </w:t>
      </w:r>
      <w:hyperlink r:id="rId21" w:history="1">
        <w:r w:rsidRPr="00E2299B">
          <w:rPr>
            <w:rStyle w:val="Hyperlink"/>
            <w:rFonts w:ascii="Palatino Linotype" w:hAnsi="Palatino Linotype" w:cs="Times New Roman"/>
          </w:rPr>
          <w:t>https://doi.org/10.21776/ub.jsal.2023.010.03.3</w:t>
        </w:r>
      </w:hyperlink>
    </w:p>
    <w:p w14:paraId="5EA5502F"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UGM. (2017). Opportunities and Challenges of Marine Organisms as a Source of Future Medicine. Https://Pustekkelautan.ugm.ac.id. </w:t>
      </w:r>
      <w:hyperlink r:id="rId22" w:history="1">
        <w:r w:rsidRPr="00E2299B">
          <w:rPr>
            <w:rStyle w:val="Hyperlink"/>
            <w:rFonts w:ascii="Palatino Linotype" w:hAnsi="Palatino Linotype" w:cs="Times New Roman"/>
          </w:rPr>
          <w:t>https://pustekkelautan.ugm.ac.id/2017/10/12/peluang-dan-tantangan-organisme-laut-sebagai-sumber-obat-masa-depan/</w:t>
        </w:r>
      </w:hyperlink>
    </w:p>
    <w:p w14:paraId="07020E2B"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Wayan, I., Widarta, R., &amp; Arnata, W. (2017). Extraction of Bioactive Compounds from Avocado Leaves by Sonication at Various Solvent Types and Concentrations. AGRITECH, 37(2), 148-157. </w:t>
      </w:r>
      <w:hyperlink r:id="rId23" w:history="1">
        <w:r w:rsidRPr="00E2299B">
          <w:rPr>
            <w:rStyle w:val="Hyperlink"/>
            <w:rFonts w:ascii="Palatino Linotype" w:hAnsi="Palatino Linotype" w:cs="Times New Roman"/>
          </w:rPr>
          <w:t>https://doi.org/10.22146/agritech.10397</w:t>
        </w:r>
      </w:hyperlink>
    </w:p>
    <w:p w14:paraId="74E63B18"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Wiganti, D. (2022). Microbial Symbionts of Marine Sponges: Hidden Treasures in the Sea - Pharmaceutical Knowledge Channel. Ugm.ac.id. </w:t>
      </w:r>
      <w:hyperlink r:id="rId24" w:history="1">
        <w:r w:rsidRPr="00E2299B">
          <w:rPr>
            <w:rStyle w:val="Hyperlink"/>
            <w:rFonts w:ascii="Palatino Linotype" w:hAnsi="Palatino Linotype" w:cs="Times New Roman"/>
          </w:rPr>
          <w:t>https://kanalpengetahuan.farmasi.ugm.ac.id/2022/01/14/mikroba-simbion-dari-spons-laut-harta-karun-tersembunyi-di-laut/</w:t>
        </w:r>
      </w:hyperlink>
    </w:p>
    <w:p w14:paraId="3F75FFC1" w14:textId="77777777" w:rsidR="00E2299B" w:rsidRPr="00E2299B" w:rsidRDefault="00E2299B" w:rsidP="00E2299B">
      <w:pPr>
        <w:tabs>
          <w:tab w:val="left" w:pos="709"/>
        </w:tabs>
        <w:spacing w:after="0"/>
        <w:ind w:left="709" w:hanging="709"/>
        <w:jc w:val="both"/>
        <w:rPr>
          <w:rFonts w:ascii="Palatino Linotype" w:hAnsi="Palatino Linotype" w:cs="Times New Roman"/>
        </w:rPr>
      </w:pPr>
      <w:r w:rsidRPr="00E2299B">
        <w:rPr>
          <w:rFonts w:ascii="Palatino Linotype" w:hAnsi="Palatino Linotype" w:cs="Times New Roman"/>
        </w:rPr>
        <w:t xml:space="preserve">Wikipedia. (2023, November 25). Salinosporamide A. Wikipedia; Wikimedia Foundation. </w:t>
      </w:r>
      <w:hyperlink r:id="rId25" w:history="1">
        <w:r w:rsidRPr="00E2299B">
          <w:rPr>
            <w:rStyle w:val="Hyperlink"/>
            <w:rFonts w:ascii="Palatino Linotype" w:hAnsi="Palatino Linotype" w:cs="Times New Roman"/>
          </w:rPr>
          <w:t>https://en.</w:t>
        </w:r>
      </w:hyperlink>
      <w:r w:rsidRPr="00E2299B">
        <w:rPr>
          <w:rFonts w:ascii="Palatino Linotype" w:hAnsi="Palatino Linotype" w:cs="Times New Roman"/>
        </w:rPr>
        <w:t xml:space="preserve">wikipedia.org/wiki/Salinosporamide_A </w:t>
      </w:r>
    </w:p>
    <w:p w14:paraId="751866E2" w14:textId="77777777" w:rsidR="00327FE7" w:rsidRPr="00E2299B" w:rsidRDefault="00327FE7" w:rsidP="00E2299B">
      <w:pPr>
        <w:spacing w:after="0"/>
        <w:rPr>
          <w:rFonts w:ascii="Palatino Linotype" w:hAnsi="Palatino Linotype"/>
        </w:rPr>
      </w:pPr>
    </w:p>
    <w:sectPr w:rsidR="00327FE7" w:rsidRPr="00E2299B" w:rsidSect="00A91558">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134" w:left="1134" w:header="709" w:footer="709" w:gutter="0"/>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353D" w14:textId="77777777" w:rsidR="00390B9A" w:rsidRDefault="00390B9A" w:rsidP="003B736C">
      <w:pPr>
        <w:spacing w:after="0" w:line="240" w:lineRule="auto"/>
      </w:pPr>
      <w:r>
        <w:separator/>
      </w:r>
    </w:p>
  </w:endnote>
  <w:endnote w:type="continuationSeparator" w:id="0">
    <w:p w14:paraId="3C562CCD" w14:textId="77777777" w:rsidR="00390B9A" w:rsidRDefault="00390B9A" w:rsidP="003B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ntonio">
    <w:altName w:val="Times New Roman"/>
    <w:charset w:val="00"/>
    <w:family w:val="auto"/>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79FD" w14:textId="562B6EB6" w:rsidR="00491296" w:rsidRPr="00A67DF7" w:rsidRDefault="00B83E40" w:rsidP="00491296">
    <w:pPr>
      <w:pStyle w:val="Footer"/>
      <w:jc w:val="center"/>
      <w:rPr>
        <w:rFonts w:ascii="Cambria" w:hAnsi="Cambria"/>
        <w:lang w:val="en-US"/>
      </w:rPr>
    </w:pPr>
    <w:r w:rsidRPr="0009664C">
      <w:rPr>
        <w:rFonts w:ascii="Cambria" w:hAnsi="Cambria"/>
        <w:b/>
        <w:bCs/>
        <w:color w:val="FFC000" w:themeColor="accent4"/>
        <w:lang w:val="en-ID"/>
      </w:rPr>
      <w:t>S</w:t>
    </w:r>
    <w:r w:rsidR="00ED3CD2" w:rsidRPr="0009664C">
      <w:rPr>
        <w:rFonts w:ascii="Cambria" w:hAnsi="Cambria"/>
        <w:b/>
        <w:bCs/>
        <w:color w:val="FFC000" w:themeColor="accent4"/>
        <w:lang w:val="en-ID"/>
      </w:rPr>
      <w:t>GJ</w:t>
    </w:r>
    <w:r w:rsidR="00491296">
      <w:rPr>
        <w:rFonts w:ascii="Cambria" w:hAnsi="Cambria"/>
        <w:lang w:val="en-ID"/>
      </w:rPr>
      <w:t xml:space="preserve"> </w:t>
    </w:r>
    <w:r w:rsidR="00491296" w:rsidRPr="006C1431">
      <w:rPr>
        <w:rFonts w:ascii="Cambria" w:hAnsi="Cambria"/>
      </w:rPr>
      <w:t xml:space="preserve">Page </w:t>
    </w:r>
    <w:r w:rsidR="00491296" w:rsidRPr="006C1431">
      <w:rPr>
        <w:rFonts w:ascii="Cambria" w:hAnsi="Cambria"/>
        <w:b/>
        <w:bCs/>
        <w:sz w:val="24"/>
        <w:szCs w:val="24"/>
      </w:rPr>
      <w:fldChar w:fldCharType="begin"/>
    </w:r>
    <w:r w:rsidR="00491296" w:rsidRPr="006C1431">
      <w:rPr>
        <w:rFonts w:ascii="Cambria" w:hAnsi="Cambria"/>
        <w:b/>
        <w:bCs/>
      </w:rPr>
      <w:instrText xml:space="preserve"> PAGE </w:instrText>
    </w:r>
    <w:r w:rsidR="00491296" w:rsidRPr="006C1431">
      <w:rPr>
        <w:rFonts w:ascii="Cambria" w:hAnsi="Cambria"/>
        <w:b/>
        <w:bCs/>
        <w:sz w:val="24"/>
        <w:szCs w:val="24"/>
      </w:rPr>
      <w:fldChar w:fldCharType="separate"/>
    </w:r>
    <w:r w:rsidR="00491296" w:rsidRPr="006C1431">
      <w:rPr>
        <w:rFonts w:ascii="Cambria" w:hAnsi="Cambria"/>
        <w:b/>
        <w:bCs/>
        <w:noProof/>
      </w:rPr>
      <w:t>2</w:t>
    </w:r>
    <w:r w:rsidR="00491296" w:rsidRPr="006C1431">
      <w:rPr>
        <w:rFonts w:ascii="Cambria" w:hAnsi="Cambria"/>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72B8" w14:textId="30156AC6" w:rsidR="00491296" w:rsidRPr="00491296" w:rsidRDefault="00B83E40" w:rsidP="00491296">
    <w:pPr>
      <w:pStyle w:val="Footer"/>
      <w:tabs>
        <w:tab w:val="clear" w:pos="4513"/>
        <w:tab w:val="clear" w:pos="9026"/>
        <w:tab w:val="center" w:pos="4678"/>
      </w:tabs>
      <w:ind w:right="-1"/>
      <w:jc w:val="center"/>
      <w:rPr>
        <w:rFonts w:ascii="Cambria" w:hAnsi="Cambria"/>
        <w:lang w:val="en-ID"/>
      </w:rPr>
    </w:pPr>
    <w:r w:rsidRPr="00825248">
      <w:rPr>
        <w:rFonts w:ascii="Cambria" w:hAnsi="Cambria"/>
        <w:b/>
        <w:bCs/>
        <w:color w:val="FFC000" w:themeColor="accent4"/>
        <w:lang w:val="en-ID"/>
      </w:rPr>
      <w:t>S</w:t>
    </w:r>
    <w:r w:rsidR="00825248" w:rsidRPr="00825248">
      <w:rPr>
        <w:rFonts w:ascii="Cambria" w:hAnsi="Cambria"/>
        <w:b/>
        <w:bCs/>
        <w:color w:val="FFC000" w:themeColor="accent4"/>
        <w:lang w:val="en-ID"/>
      </w:rPr>
      <w:t>GJ</w:t>
    </w:r>
    <w:r w:rsidR="00491296">
      <w:t xml:space="preserve"> </w:t>
    </w:r>
    <w:r w:rsidR="00491296" w:rsidRPr="00C30E10">
      <w:rPr>
        <w:rFonts w:ascii="Cambria" w:hAnsi="Cambria"/>
      </w:rPr>
      <w:t xml:space="preserve">Page </w:t>
    </w:r>
    <w:r w:rsidR="00491296" w:rsidRPr="00C30E10">
      <w:rPr>
        <w:rFonts w:ascii="Cambria" w:hAnsi="Cambria"/>
        <w:b/>
        <w:bCs/>
        <w:sz w:val="24"/>
        <w:szCs w:val="24"/>
      </w:rPr>
      <w:fldChar w:fldCharType="begin"/>
    </w:r>
    <w:r w:rsidR="00491296" w:rsidRPr="00C30E10">
      <w:rPr>
        <w:rFonts w:ascii="Cambria" w:hAnsi="Cambria"/>
        <w:b/>
        <w:bCs/>
      </w:rPr>
      <w:instrText xml:space="preserve"> PAGE </w:instrText>
    </w:r>
    <w:r w:rsidR="00491296" w:rsidRPr="00C30E10">
      <w:rPr>
        <w:rFonts w:ascii="Cambria" w:hAnsi="Cambria"/>
        <w:b/>
        <w:bCs/>
        <w:sz w:val="24"/>
        <w:szCs w:val="24"/>
      </w:rPr>
      <w:fldChar w:fldCharType="separate"/>
    </w:r>
    <w:r w:rsidR="00491296" w:rsidRPr="00C30E10">
      <w:rPr>
        <w:rFonts w:ascii="Cambria" w:hAnsi="Cambria"/>
        <w:b/>
        <w:bCs/>
        <w:noProof/>
      </w:rPr>
      <w:t>2</w:t>
    </w:r>
    <w:r w:rsidR="00491296" w:rsidRPr="00C30E10">
      <w:rPr>
        <w:rFonts w:ascii="Cambria" w:hAnsi="Cambria"/>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BEA3" w14:textId="0FD0A5B3" w:rsidR="00491296" w:rsidRDefault="0009664C" w:rsidP="00491296">
    <w:pPr>
      <w:spacing w:after="0" w:line="240" w:lineRule="auto"/>
      <w:rPr>
        <w:rFonts w:ascii="Cambria" w:hAnsi="Cambria"/>
        <w:b/>
        <w:bCs/>
        <w:color w:val="003300"/>
        <w:lang w:val="en-ID"/>
      </w:rPr>
    </w:pPr>
    <w:r>
      <w:rPr>
        <w:rFonts w:ascii="Cambria" w:hAnsi="Cambria"/>
        <w:b/>
        <w:bCs/>
        <w:noProof/>
        <w:color w:val="003300"/>
        <w:lang w:val="en-ID"/>
      </w:rPr>
      <mc:AlternateContent>
        <mc:Choice Requires="wps">
          <w:drawing>
            <wp:anchor distT="0" distB="0" distL="114300" distR="114300" simplePos="0" relativeHeight="251659776" behindDoc="0" locked="0" layoutInCell="1" allowOverlap="1" wp14:anchorId="728E8C38" wp14:editId="70688018">
              <wp:simplePos x="0" y="0"/>
              <wp:positionH relativeFrom="column">
                <wp:posOffset>1948053</wp:posOffset>
              </wp:positionH>
              <wp:positionV relativeFrom="paragraph">
                <wp:posOffset>164338</wp:posOffset>
              </wp:positionV>
              <wp:extent cx="3524250" cy="314198"/>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14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B4F07" w14:textId="285DB8D4" w:rsidR="001A1450" w:rsidRDefault="001F5B8E" w:rsidP="00491296">
                          <w:pPr>
                            <w:spacing w:after="0" w:line="240" w:lineRule="auto"/>
                            <w:jc w:val="right"/>
                            <w:rPr>
                              <w:rFonts w:ascii="Cambria" w:hAnsi="Cambria" w:cs="Helvetica"/>
                              <w:color w:val="2C3E50"/>
                              <w:sz w:val="14"/>
                              <w:szCs w:val="14"/>
                            </w:rPr>
                          </w:pPr>
                          <w:hyperlink r:id="rId1" w:history="1">
                            <w:r w:rsidRPr="00FB632D">
                              <w:rPr>
                                <w:rStyle w:val="Hyperlink"/>
                                <w:rFonts w:ascii="Cambria" w:hAnsi="Cambria" w:cs="Helvetica"/>
                                <w:sz w:val="14"/>
                                <w:szCs w:val="14"/>
                              </w:rPr>
                              <w:t>http://dx.doi.org/10.69855/science.v1i3.82</w:t>
                            </w:r>
                          </w:hyperlink>
                          <w:r w:rsidR="00757B91">
                            <w:rPr>
                              <w:rFonts w:ascii="Cambria" w:hAnsi="Cambria" w:cs="Helvetica"/>
                              <w:color w:val="2C3E50"/>
                              <w:sz w:val="14"/>
                              <w:szCs w:val="14"/>
                            </w:rPr>
                            <w:t xml:space="preserve"> </w:t>
                          </w:r>
                        </w:p>
                        <w:p w14:paraId="1210BDF3" w14:textId="78AD27DE" w:rsidR="00491296" w:rsidRDefault="00757B91" w:rsidP="00757B91">
                          <w:pPr>
                            <w:spacing w:after="0" w:line="240" w:lineRule="auto"/>
                            <w:jc w:val="right"/>
                          </w:pPr>
                          <w:hyperlink r:id="rId2" w:history="1">
                            <w:r w:rsidRPr="003005B1">
                              <w:rPr>
                                <w:rStyle w:val="Hyperlink"/>
                                <w:rFonts w:ascii="Cambria" w:hAnsi="Cambria" w:cs="Helvetica"/>
                                <w:sz w:val="14"/>
                                <w:szCs w:val="14"/>
                              </w:rPr>
                              <w:t>https://gpijournal.com/index.php/science</w:t>
                            </w:r>
                          </w:hyperlink>
                          <w:r>
                            <w:rPr>
                              <w:rFonts w:ascii="Cambria" w:hAnsi="Cambria" w:cs="Helvetica"/>
                              <w:color w:val="2C3E50"/>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E8C38" id="_x0000_t202" coordsize="21600,21600" o:spt="202" path="m,l,21600r21600,l21600,xe">
              <v:stroke joinstyle="miter"/>
              <v:path gradientshapeok="t" o:connecttype="rect"/>
            </v:shapetype>
            <v:shape id="Text Box 4" o:spid="_x0000_s1026" type="#_x0000_t202" style="position:absolute;margin-left:153.4pt;margin-top:12.95pt;width:277.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Q44AEAAKEDAAAOAAAAZHJzL2Uyb0RvYy54bWysU1Fv0zAQfkfiP1h+p2myFrao6TQ2DSGN&#10;gTT4AY5jJxaJz5zdJuXXc3a6rsAb4sWy7y7ffd93l831NPRsr9AbsBXPF0vOlJXQGNtW/NvX+zeX&#10;nPkgbCN6sKriB+X59fb1q83oSlVAB32jkBGI9eXoKt6F4Mos87JTg/ALcMpSUgMOItAT26xBMRL6&#10;0GfFcvk2GwEbhyCV9xS9m5N8m/C1VjJ81tqrwPqKE7eQTkxnHc9suxFli8J1Rh5piH9gMQhjqekJ&#10;6k4EwXZo/oIajETwoMNCwpCB1kaqpIHU5Ms/1Dx1wqmkhczx7mST/3+w8nH/5L4gC9N7mGiASYR3&#10;DyC/e2bhthO2VTeIMHZKNNQ4j5Zlo/Pl8dNotS99BKnHT9DQkMUuQAKaNA7RFdLJCJ0GcDiZrqbA&#10;JAUv1sWqWFNKUu4iX+VXl6mFKJ+/dujDBwUDi5eKIw01oYv9gw+RjSifS2IzC/em79Nge/tbgApj&#10;JLGPhGfqYaonqo4qamgOpANh3hPaa7p0gD85G2lHKu5/7AQqzvqPlry4yleruFTpsVq/K+iB55n6&#10;PCOsJKiKB87m622YF3Hn0LQddZrdt3BD/mmTpL2wOvKmPUiKjzsbF+38nape/qztLwAAAP//AwBQ&#10;SwMEFAAGAAgAAAAhALlwqozeAAAACQEAAA8AAABkcnMvZG93bnJldi54bWxMj8FOwzAQRO9I/IO1&#10;SNyo3dKkbcimQiCuIApF4uYm2yQiXkex24S/ZznBcWdHM2/y7eQ6daYhtJ4R5jMDirj0Vcs1wvvb&#10;080aVIiWK9t5JoRvCrAtLi9ym1V+5Fc672KtJIRDZhGaGPtM61A25GyY+Z5Yfkc/OBvlHGpdDXaU&#10;cNfphTGpdrZlaWhsTw8NlV+7k0PYPx8/P5bmpX50ST/6yWh2G414fTXd34GKNMU/M/ziCzoUwnTw&#10;J66C6hBuTSroEWGRbECJYZ3ORTggrJIl6CLX/xcUPwAAAP//AwBQSwECLQAUAAYACAAAACEAtoM4&#10;kv4AAADhAQAAEwAAAAAAAAAAAAAAAAAAAAAAW0NvbnRlbnRfVHlwZXNdLnhtbFBLAQItABQABgAI&#10;AAAAIQA4/SH/1gAAAJQBAAALAAAAAAAAAAAAAAAAAC8BAABfcmVscy8ucmVsc1BLAQItABQABgAI&#10;AAAAIQC7ZXQ44AEAAKEDAAAOAAAAAAAAAAAAAAAAAC4CAABkcnMvZTJvRG9jLnhtbFBLAQItABQA&#10;BgAIAAAAIQC5cKqM3gAAAAkBAAAPAAAAAAAAAAAAAAAAADoEAABkcnMvZG93bnJldi54bWxQSwUG&#10;AAAAAAQABADzAAAARQUAAAAA&#10;" filled="f" stroked="f">
              <v:textbox>
                <w:txbxContent>
                  <w:p w14:paraId="67BB4F07" w14:textId="285DB8D4" w:rsidR="001A1450" w:rsidRDefault="001F5B8E" w:rsidP="00491296">
                    <w:pPr>
                      <w:spacing w:after="0" w:line="240" w:lineRule="auto"/>
                      <w:jc w:val="right"/>
                      <w:rPr>
                        <w:rFonts w:ascii="Cambria" w:hAnsi="Cambria" w:cs="Helvetica"/>
                        <w:color w:val="2C3E50"/>
                        <w:sz w:val="14"/>
                        <w:szCs w:val="14"/>
                      </w:rPr>
                    </w:pPr>
                    <w:hyperlink r:id="rId3" w:history="1">
                      <w:r w:rsidRPr="00FB632D">
                        <w:rPr>
                          <w:rStyle w:val="Hyperlink"/>
                          <w:rFonts w:ascii="Cambria" w:hAnsi="Cambria" w:cs="Helvetica"/>
                          <w:sz w:val="14"/>
                          <w:szCs w:val="14"/>
                        </w:rPr>
                        <w:t>http://dx.doi.org/10.69855/science.v1i3.82</w:t>
                      </w:r>
                    </w:hyperlink>
                    <w:r w:rsidR="00757B91">
                      <w:rPr>
                        <w:rFonts w:ascii="Cambria" w:hAnsi="Cambria" w:cs="Helvetica"/>
                        <w:color w:val="2C3E50"/>
                        <w:sz w:val="14"/>
                        <w:szCs w:val="14"/>
                      </w:rPr>
                      <w:t xml:space="preserve"> </w:t>
                    </w:r>
                  </w:p>
                  <w:p w14:paraId="1210BDF3" w14:textId="78AD27DE" w:rsidR="00491296" w:rsidRDefault="00757B91" w:rsidP="00757B91">
                    <w:pPr>
                      <w:spacing w:after="0" w:line="240" w:lineRule="auto"/>
                      <w:jc w:val="right"/>
                    </w:pPr>
                    <w:hyperlink r:id="rId4" w:history="1">
                      <w:r w:rsidRPr="003005B1">
                        <w:rPr>
                          <w:rStyle w:val="Hyperlink"/>
                          <w:rFonts w:ascii="Cambria" w:hAnsi="Cambria" w:cs="Helvetica"/>
                          <w:sz w:val="14"/>
                          <w:szCs w:val="14"/>
                        </w:rPr>
                        <w:t>https://gpijournal.com/index.php/science</w:t>
                      </w:r>
                    </w:hyperlink>
                    <w:r>
                      <w:rPr>
                        <w:rFonts w:ascii="Cambria" w:hAnsi="Cambria" w:cs="Helvetica"/>
                        <w:color w:val="2C3E50"/>
                        <w:sz w:val="14"/>
                        <w:szCs w:val="14"/>
                      </w:rPr>
                      <w:t xml:space="preserve"> </w:t>
                    </w:r>
                  </w:p>
                </w:txbxContent>
              </v:textbox>
            </v:shape>
          </w:pict>
        </mc:Fallback>
      </mc:AlternateContent>
    </w:r>
    <w:r w:rsidR="00E34F3E">
      <w:rPr>
        <w:noProof/>
      </w:rPr>
      <w:drawing>
        <wp:anchor distT="0" distB="0" distL="114300" distR="114300" simplePos="0" relativeHeight="251661824" behindDoc="0" locked="0" layoutInCell="1" allowOverlap="1" wp14:anchorId="7E8D1557" wp14:editId="39E0773A">
          <wp:simplePos x="0" y="0"/>
          <wp:positionH relativeFrom="column">
            <wp:posOffset>5391785</wp:posOffset>
          </wp:positionH>
          <wp:positionV relativeFrom="paragraph">
            <wp:posOffset>153113</wp:posOffset>
          </wp:positionV>
          <wp:extent cx="731520" cy="356886"/>
          <wp:effectExtent l="0" t="0" r="0" b="508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5">
                    <a:extLst>
                      <a:ext uri="{28A0092B-C50C-407E-A947-70E740481C1C}">
                        <a14:useLocalDpi xmlns:a14="http://schemas.microsoft.com/office/drawing/2010/main" val="0"/>
                      </a:ext>
                    </a:extLst>
                  </a:blip>
                  <a:srcRect t="21205" b="30010"/>
                  <a:stretch/>
                </pic:blipFill>
                <pic:spPr bwMode="auto">
                  <a:xfrm>
                    <a:off x="0" y="0"/>
                    <a:ext cx="731520" cy="3568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295347" w14:textId="5EDA21D9" w:rsidR="00491296" w:rsidRDefault="00491296" w:rsidP="00491296">
    <w:pPr>
      <w:spacing w:after="0" w:line="240" w:lineRule="auto"/>
      <w:rPr>
        <w:rFonts w:ascii="Cambria" w:hAnsi="Cambria"/>
        <w:b/>
        <w:bCs/>
        <w:color w:val="003300"/>
        <w:lang w:val="en-ID"/>
      </w:rPr>
    </w:pPr>
  </w:p>
  <w:p w14:paraId="626C7906" w14:textId="7A997E41" w:rsidR="00491296" w:rsidRPr="00491296" w:rsidRDefault="00E34F3E" w:rsidP="00491296">
    <w:pPr>
      <w:spacing w:after="0" w:line="240" w:lineRule="auto"/>
      <w:rPr>
        <w:rFonts w:ascii="Cambria" w:hAnsi="Cambria" w:cs="Times New Roman"/>
        <w:b/>
        <w:sz w:val="24"/>
        <w:szCs w:val="24"/>
        <w:lang w:val="en-ID"/>
      </w:rPr>
    </w:pPr>
    <w:r w:rsidRPr="0009664C">
      <w:rPr>
        <w:noProof/>
        <w:color w:val="FFC000" w:themeColor="accent4"/>
      </w:rPr>
      <w:t xml:space="preserve"> </w:t>
    </w:r>
    <w:r w:rsidR="00B83E40" w:rsidRPr="0009664C">
      <w:rPr>
        <w:rFonts w:ascii="Cambria" w:hAnsi="Cambria"/>
        <w:b/>
        <w:bCs/>
        <w:color w:val="FFC000" w:themeColor="accent4"/>
        <w:lang w:val="en-ID"/>
      </w:rPr>
      <w:t>S</w:t>
    </w:r>
    <w:r w:rsidR="00ED3CD2" w:rsidRPr="0009664C">
      <w:rPr>
        <w:rFonts w:ascii="Cambria" w:hAnsi="Cambria"/>
        <w:b/>
        <w:bCs/>
        <w:color w:val="FFC000" w:themeColor="accent4"/>
        <w:lang w:val="en-ID"/>
      </w:rPr>
      <w:t>GJ</w:t>
    </w:r>
    <w:r w:rsidR="00E2299B">
      <w:rPr>
        <w:rFonts w:ascii="Cambria" w:hAnsi="Cambria"/>
        <w:b/>
        <w:bCs/>
        <w:color w:val="FFC000" w:themeColor="accent4"/>
        <w:lang w:val="en-ID"/>
      </w:rPr>
      <w:t xml:space="preserve"> </w:t>
    </w:r>
    <w:r w:rsidR="00491296" w:rsidRPr="00BE3B38">
      <w:rPr>
        <w:rFonts w:ascii="Cambria" w:hAnsi="Cambria"/>
      </w:rPr>
      <w:t xml:space="preserve">Page </w:t>
    </w:r>
    <w:r w:rsidR="00491296" w:rsidRPr="00BE3B38">
      <w:rPr>
        <w:rFonts w:ascii="Cambria" w:hAnsi="Cambria"/>
        <w:b/>
        <w:bCs/>
        <w:sz w:val="24"/>
        <w:szCs w:val="24"/>
      </w:rPr>
      <w:fldChar w:fldCharType="begin"/>
    </w:r>
    <w:r w:rsidR="00491296" w:rsidRPr="00BE3B38">
      <w:rPr>
        <w:rFonts w:ascii="Cambria" w:hAnsi="Cambria"/>
        <w:b/>
        <w:bCs/>
      </w:rPr>
      <w:instrText xml:space="preserve"> PAGE </w:instrText>
    </w:r>
    <w:r w:rsidR="00491296" w:rsidRPr="00BE3B38">
      <w:rPr>
        <w:rFonts w:ascii="Cambria" w:hAnsi="Cambria"/>
        <w:b/>
        <w:bCs/>
        <w:sz w:val="24"/>
        <w:szCs w:val="24"/>
      </w:rPr>
      <w:fldChar w:fldCharType="separate"/>
    </w:r>
    <w:r w:rsidR="00491296" w:rsidRPr="00BE3B38">
      <w:rPr>
        <w:rFonts w:ascii="Cambria" w:hAnsi="Cambria"/>
        <w:b/>
        <w:bCs/>
        <w:noProof/>
      </w:rPr>
      <w:t>2</w:t>
    </w:r>
    <w:r w:rsidR="00491296" w:rsidRPr="00BE3B38">
      <w:rPr>
        <w:rFonts w:ascii="Cambria" w:hAnsi="Cambria"/>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AD6D" w14:textId="77777777" w:rsidR="00390B9A" w:rsidRDefault="00390B9A" w:rsidP="003B736C">
      <w:pPr>
        <w:spacing w:after="0" w:line="240" w:lineRule="auto"/>
      </w:pPr>
      <w:r>
        <w:separator/>
      </w:r>
    </w:p>
  </w:footnote>
  <w:footnote w:type="continuationSeparator" w:id="0">
    <w:p w14:paraId="4C682419" w14:textId="77777777" w:rsidR="00390B9A" w:rsidRDefault="00390B9A" w:rsidP="003B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2B63" w14:textId="77777777" w:rsidR="00757B91" w:rsidRDefault="00757B91" w:rsidP="00757B91">
    <w:pPr>
      <w:pStyle w:val="Header"/>
      <w:rPr>
        <w:rFonts w:ascii="Cambria" w:hAnsi="Cambria"/>
        <w:sz w:val="20"/>
        <w:lang w:val="en-GB"/>
      </w:rPr>
    </w:pPr>
    <w:r>
      <w:rPr>
        <w:noProof/>
      </w:rPr>
      <w:drawing>
        <wp:inline distT="0" distB="0" distL="0" distR="0" wp14:anchorId="778267ED" wp14:editId="60D9F5D1">
          <wp:extent cx="904672" cy="317150"/>
          <wp:effectExtent l="0" t="0" r="0" b="6985"/>
          <wp:docPr id="140875197" name="Picture 6"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5197" name="Picture 6" descr="A grey and black sign with a person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959" cy="327768"/>
                  </a:xfrm>
                  <a:prstGeom prst="rect">
                    <a:avLst/>
                  </a:prstGeom>
                  <a:noFill/>
                  <a:ln>
                    <a:noFill/>
                  </a:ln>
                </pic:spPr>
              </pic:pic>
            </a:graphicData>
          </a:graphic>
        </wp:inline>
      </w:drawing>
    </w:r>
  </w:p>
  <w:p w14:paraId="549B6601" w14:textId="44729244" w:rsidR="00491296" w:rsidRPr="00757B91" w:rsidRDefault="00757B91" w:rsidP="00FE4A37">
    <w:pPr>
      <w:pStyle w:val="Header"/>
      <w:rPr>
        <w:rFonts w:ascii="Cambria" w:hAnsi="Cambria"/>
        <w:sz w:val="20"/>
      </w:rPr>
    </w:pPr>
    <w:r w:rsidRPr="00541F86">
      <w:rPr>
        <w:rFonts w:ascii="Cambria" w:hAnsi="Cambria"/>
        <w:sz w:val="20"/>
        <w:lang w:val="en-GB"/>
      </w:rPr>
      <w:t>This work is licensed under</w:t>
    </w:r>
    <w:r w:rsidR="005234E8">
      <w:rPr>
        <w:rFonts w:ascii="Cambria" w:hAnsi="Cambria"/>
        <w:sz w:val="20"/>
        <w:lang w:val="en-GB"/>
      </w:rPr>
      <w:t xml:space="preserve"> a </w:t>
    </w:r>
    <w:hyperlink r:id="rId2" w:history="1">
      <w:r w:rsidRPr="00541F86">
        <w:rPr>
          <w:rStyle w:val="Hyperlink"/>
          <w:rFonts w:ascii="Cambria" w:hAnsi="Cambria"/>
          <w:sz w:val="20"/>
        </w:rPr>
        <w:t>Creative Commons Attribution 4.0 International license</w:t>
      </w:r>
    </w:hyperlink>
  </w:p>
  <w:p w14:paraId="223DCE9D" w14:textId="6898F24C" w:rsidR="00491296" w:rsidRDefault="00B83E40" w:rsidP="00491296">
    <w:pPr>
      <w:pStyle w:val="Header"/>
      <w:pBdr>
        <w:bottom w:val="single" w:sz="4" w:space="1" w:color="auto"/>
      </w:pBdr>
      <w:rPr>
        <w:rFonts w:ascii="Cambria" w:hAnsi="Cambria"/>
        <w:lang w:val="en-GB"/>
      </w:rPr>
    </w:pPr>
    <w:r w:rsidRPr="0009664C">
      <w:rPr>
        <w:rFonts w:ascii="Cambria" w:hAnsi="Cambria"/>
        <w:b/>
        <w:bCs/>
        <w:color w:val="FFC000" w:themeColor="accent4"/>
        <w:lang w:val="en-GB"/>
      </w:rPr>
      <w:t>Science</w:t>
    </w:r>
    <w:r w:rsidR="00295DBD" w:rsidRPr="0009664C">
      <w:rPr>
        <w:rFonts w:ascii="Cambria" w:hAnsi="Cambria"/>
        <w:b/>
        <w:bCs/>
        <w:color w:val="FFC000" w:themeColor="accent4"/>
        <w:lang w:val="en-GB"/>
      </w:rPr>
      <w:t xml:space="preserve"> </w:t>
    </w:r>
    <w:r w:rsidR="00ED3CD2" w:rsidRPr="0009664C">
      <w:rPr>
        <w:rFonts w:ascii="Cambria" w:hAnsi="Cambria"/>
        <w:b/>
        <w:bCs/>
        <w:color w:val="FFC000" w:themeColor="accent4"/>
        <w:lang w:val="en-GB"/>
      </w:rPr>
      <w:t>Get Journal</w:t>
    </w:r>
    <w:r w:rsidR="00ED3CD2">
      <w:rPr>
        <w:rFonts w:ascii="Cambria" w:hAnsi="Cambria"/>
        <w:b/>
        <w:bCs/>
        <w:color w:val="7030A0"/>
        <w:lang w:val="en-GB"/>
      </w:rPr>
      <w:t>,</w:t>
    </w:r>
    <w:r w:rsidR="00491296" w:rsidRPr="00295DBD">
      <w:rPr>
        <w:rFonts w:ascii="Cambria" w:hAnsi="Cambria"/>
        <w:color w:val="7030A0"/>
        <w:lang w:val="en-GB"/>
      </w:rPr>
      <w:t xml:space="preserve"> </w:t>
    </w:r>
    <w:r w:rsidR="00F60337" w:rsidRPr="00F60337">
      <w:rPr>
        <w:rFonts w:ascii="Cambria" w:hAnsi="Cambria"/>
        <w:lang w:val="en-GB"/>
      </w:rPr>
      <w:t xml:space="preserve">Vol.  </w:t>
    </w:r>
    <w:proofErr w:type="gramStart"/>
    <w:r w:rsidR="00F60337" w:rsidRPr="00F60337">
      <w:rPr>
        <w:rFonts w:ascii="Cambria" w:hAnsi="Cambria"/>
        <w:lang w:val="en-GB"/>
      </w:rPr>
      <w:t>01 ,</w:t>
    </w:r>
    <w:proofErr w:type="gramEnd"/>
    <w:r w:rsidR="00F60337" w:rsidRPr="00F60337">
      <w:rPr>
        <w:rFonts w:ascii="Cambria" w:hAnsi="Cambria"/>
        <w:lang w:val="en-GB"/>
      </w:rPr>
      <w:t xml:space="preserve"> No. </w:t>
    </w:r>
    <w:proofErr w:type="gramStart"/>
    <w:r w:rsidR="00F60337" w:rsidRPr="00F60337">
      <w:rPr>
        <w:rFonts w:ascii="Cambria" w:hAnsi="Cambria"/>
        <w:lang w:val="en-GB"/>
      </w:rPr>
      <w:t>3 ,</w:t>
    </w:r>
    <w:proofErr w:type="gramEnd"/>
    <w:r w:rsidR="00F60337" w:rsidRPr="00F60337">
      <w:rPr>
        <w:rFonts w:ascii="Cambria" w:hAnsi="Cambria"/>
        <w:lang w:val="en-GB"/>
      </w:rPr>
      <w:t xml:space="preserve"> October 2024</w:t>
    </w:r>
  </w:p>
  <w:p w14:paraId="382C154F" w14:textId="77777777" w:rsidR="00491296" w:rsidRPr="00491296" w:rsidRDefault="00491296" w:rsidP="00491296">
    <w:pPr>
      <w:pStyle w:val="Header"/>
      <w:rPr>
        <w:rFonts w:ascii="Cambria" w:hAnsi="Cambria"/>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CB98" w14:textId="41C7FD71" w:rsidR="00F87744" w:rsidRDefault="00F87744" w:rsidP="00F87744">
    <w:pPr>
      <w:pStyle w:val="Header"/>
      <w:jc w:val="right"/>
      <w:rPr>
        <w:rFonts w:ascii="Antonio" w:hAnsi="Antonio"/>
        <w:sz w:val="20"/>
        <w:lang w:val="en-GB"/>
      </w:rPr>
    </w:pPr>
    <w:r>
      <w:rPr>
        <w:noProof/>
      </w:rPr>
      <w:drawing>
        <wp:inline distT="0" distB="0" distL="0" distR="0" wp14:anchorId="3052C1DA" wp14:editId="71E38DF3">
          <wp:extent cx="904672" cy="317150"/>
          <wp:effectExtent l="0" t="0" r="0" b="6985"/>
          <wp:docPr id="481984783" name="Picture 6"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5197" name="Picture 6" descr="A grey and black sign with a person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959" cy="327768"/>
                  </a:xfrm>
                  <a:prstGeom prst="rect">
                    <a:avLst/>
                  </a:prstGeom>
                  <a:noFill/>
                  <a:ln>
                    <a:noFill/>
                  </a:ln>
                </pic:spPr>
              </pic:pic>
            </a:graphicData>
          </a:graphic>
        </wp:inline>
      </w:drawing>
    </w:r>
  </w:p>
  <w:p w14:paraId="6AF5B3BB" w14:textId="763CFA1B" w:rsidR="00491296" w:rsidRDefault="00F87744" w:rsidP="00F87744">
    <w:pPr>
      <w:pStyle w:val="Header"/>
      <w:jc w:val="right"/>
      <w:rPr>
        <w:rFonts w:ascii="Antonio" w:hAnsi="Antonio"/>
        <w:sz w:val="20"/>
        <w:lang w:val="en-GB"/>
      </w:rPr>
    </w:pPr>
    <w:r w:rsidRPr="00F87744">
      <w:rPr>
        <w:rFonts w:ascii="Antonio" w:hAnsi="Antonio"/>
        <w:sz w:val="20"/>
        <w:lang w:val="en-GB"/>
      </w:rPr>
      <w:t>This work is licensed under a</w:t>
    </w:r>
    <w:r w:rsidR="00A0390F">
      <w:rPr>
        <w:rFonts w:ascii="Antonio" w:hAnsi="Antonio"/>
        <w:sz w:val="20"/>
        <w:lang w:val="en-GB"/>
      </w:rPr>
      <w:t xml:space="preserve"> </w:t>
    </w:r>
    <w:hyperlink r:id="rId2" w:history="1">
      <w:r w:rsidRPr="00F87744">
        <w:rPr>
          <w:rStyle w:val="Hyperlink"/>
          <w:rFonts w:ascii="Antonio" w:hAnsi="Antonio"/>
          <w:sz w:val="20"/>
        </w:rPr>
        <w:t>Creative Commons Attribution 4.0 International license</w:t>
      </w:r>
    </w:hyperlink>
  </w:p>
  <w:p w14:paraId="79085642" w14:textId="049B8454" w:rsidR="00491296" w:rsidRDefault="00B83E40" w:rsidP="00491296">
    <w:pPr>
      <w:pStyle w:val="Header"/>
      <w:pBdr>
        <w:bottom w:val="single" w:sz="4" w:space="1" w:color="auto"/>
      </w:pBdr>
      <w:jc w:val="right"/>
      <w:rPr>
        <w:rFonts w:ascii="Cambria" w:hAnsi="Cambria"/>
        <w:lang w:val="en-GB"/>
      </w:rPr>
    </w:pPr>
    <w:r w:rsidRPr="0009664C">
      <w:rPr>
        <w:rFonts w:ascii="Cambria" w:hAnsi="Cambria"/>
        <w:b/>
        <w:bCs/>
        <w:color w:val="FFC000" w:themeColor="accent4"/>
        <w:lang w:val="en-GB"/>
      </w:rPr>
      <w:t xml:space="preserve">Science </w:t>
    </w:r>
    <w:r w:rsidR="00ED3CD2" w:rsidRPr="0009664C">
      <w:rPr>
        <w:rFonts w:ascii="Cambria" w:hAnsi="Cambria"/>
        <w:b/>
        <w:bCs/>
        <w:color w:val="FFC000" w:themeColor="accent4"/>
        <w:lang w:val="en-GB"/>
      </w:rPr>
      <w:t>Get Journal</w:t>
    </w:r>
    <w:r w:rsidR="00491296" w:rsidRPr="00C30E10">
      <w:rPr>
        <w:rFonts w:ascii="Cambria" w:hAnsi="Cambria"/>
        <w:lang w:val="en-GB"/>
      </w:rPr>
      <w:t xml:space="preserve">, </w:t>
    </w:r>
    <w:r w:rsidR="00F60337" w:rsidRPr="00F60337">
      <w:rPr>
        <w:rFonts w:ascii="Cambria" w:hAnsi="Cambria"/>
        <w:lang w:val="en-GB"/>
      </w:rPr>
      <w:t xml:space="preserve">Vol.  </w:t>
    </w:r>
    <w:proofErr w:type="gramStart"/>
    <w:r w:rsidR="00F60337" w:rsidRPr="00F60337">
      <w:rPr>
        <w:rFonts w:ascii="Cambria" w:hAnsi="Cambria"/>
        <w:lang w:val="en-GB"/>
      </w:rPr>
      <w:t>01 ,</w:t>
    </w:r>
    <w:proofErr w:type="gramEnd"/>
    <w:r w:rsidR="00F60337" w:rsidRPr="00F60337">
      <w:rPr>
        <w:rFonts w:ascii="Cambria" w:hAnsi="Cambria"/>
        <w:lang w:val="en-GB"/>
      </w:rPr>
      <w:t xml:space="preserve"> No. </w:t>
    </w:r>
    <w:proofErr w:type="gramStart"/>
    <w:r w:rsidR="00F60337" w:rsidRPr="00F60337">
      <w:rPr>
        <w:rFonts w:ascii="Cambria" w:hAnsi="Cambria"/>
        <w:lang w:val="en-GB"/>
      </w:rPr>
      <w:t>3 ,</w:t>
    </w:r>
    <w:proofErr w:type="gramEnd"/>
    <w:r w:rsidR="00F60337" w:rsidRPr="00F60337">
      <w:rPr>
        <w:rFonts w:ascii="Cambria" w:hAnsi="Cambria"/>
        <w:lang w:val="en-GB"/>
      </w:rPr>
      <w:t xml:space="preserve"> October 2024</w:t>
    </w:r>
  </w:p>
  <w:p w14:paraId="4FE22C5E" w14:textId="77777777" w:rsidR="00491296" w:rsidRPr="00491296" w:rsidRDefault="00491296" w:rsidP="00491296">
    <w:pPr>
      <w:pStyle w:val="Header"/>
      <w:jc w:val="right"/>
      <w:rPr>
        <w:rFonts w:ascii="Cambria" w:hAnsi="Cambria"/>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Ind w:w="567" w:type="dxa"/>
      <w:tblLook w:val="04A0" w:firstRow="1" w:lastRow="0" w:firstColumn="1" w:lastColumn="0" w:noHBand="0" w:noVBand="1"/>
    </w:tblPr>
    <w:tblGrid>
      <w:gridCol w:w="4814"/>
      <w:gridCol w:w="4117"/>
    </w:tblGrid>
    <w:tr w:rsidR="00491296" w:rsidRPr="00F246D1" w14:paraId="19E486F4" w14:textId="77777777" w:rsidTr="009234AE">
      <w:tc>
        <w:tcPr>
          <w:tcW w:w="4814" w:type="dxa"/>
          <w:shd w:val="clear" w:color="auto" w:fill="auto"/>
        </w:tcPr>
        <w:p w14:paraId="3846808B" w14:textId="4087D3B5" w:rsidR="00491296" w:rsidRPr="005D24F3" w:rsidRDefault="00413853" w:rsidP="005D24F3">
          <w:pPr>
            <w:spacing w:before="100" w:beforeAutospacing="1" w:after="100" w:afterAutospacing="1" w:line="240" w:lineRule="auto"/>
            <w:rPr>
              <w:rFonts w:ascii="Times New Roman" w:eastAsia="Times New Roman" w:hAnsi="Times New Roman" w:cs="Times New Roman"/>
              <w:sz w:val="24"/>
              <w:szCs w:val="24"/>
              <w:lang w:val="en-US"/>
            </w:rPr>
          </w:pPr>
          <w:r>
            <w:rPr>
              <w:noProof/>
            </w:rPr>
            <w:drawing>
              <wp:anchor distT="0" distB="0" distL="114300" distR="114300" simplePos="0" relativeHeight="251662848" behindDoc="0" locked="0" layoutInCell="1" allowOverlap="1" wp14:anchorId="2FBDE35C" wp14:editId="4CB609C1">
                <wp:simplePos x="0" y="0"/>
                <wp:positionH relativeFrom="column">
                  <wp:posOffset>-355600</wp:posOffset>
                </wp:positionH>
                <wp:positionV relativeFrom="paragraph">
                  <wp:posOffset>-337856</wp:posOffset>
                </wp:positionV>
                <wp:extent cx="1526540" cy="1112520"/>
                <wp:effectExtent l="0" t="0" r="0" b="0"/>
                <wp:wrapNone/>
                <wp:docPr id="2092682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7103"/>
                        <a:stretch/>
                      </pic:blipFill>
                      <pic:spPr bwMode="auto">
                        <a:xfrm>
                          <a:off x="0" y="0"/>
                          <a:ext cx="1526540" cy="1112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117" w:type="dxa"/>
          <w:shd w:val="clear" w:color="auto" w:fill="auto"/>
        </w:tcPr>
        <w:p w14:paraId="03BE1B15" w14:textId="0839610D" w:rsidR="00491296" w:rsidRPr="00F246D1" w:rsidRDefault="00491296" w:rsidP="009234AE">
          <w:pPr>
            <w:pStyle w:val="Header"/>
            <w:jc w:val="right"/>
            <w:rPr>
              <w:rFonts w:ascii="Calibri Light" w:hAnsi="Calibri Light"/>
              <w:sz w:val="20"/>
              <w:lang w:val="en-GB"/>
            </w:rPr>
          </w:pPr>
        </w:p>
        <w:p w14:paraId="39D61E7F" w14:textId="14932362" w:rsidR="00491296" w:rsidRPr="00E2299B" w:rsidRDefault="00E2299B" w:rsidP="009234AE">
          <w:pPr>
            <w:pStyle w:val="Header"/>
            <w:jc w:val="right"/>
            <w:rPr>
              <w:rFonts w:asciiTheme="majorHAnsi" w:hAnsiTheme="majorHAnsi" w:cstheme="majorHAnsi"/>
              <w:i/>
              <w:iCs/>
              <w:sz w:val="20"/>
              <w:lang w:val="en-GB"/>
            </w:rPr>
          </w:pPr>
          <w:r w:rsidRPr="00E2299B">
            <w:rPr>
              <w:rFonts w:asciiTheme="majorHAnsi" w:hAnsiTheme="majorHAnsi" w:cstheme="majorHAnsi"/>
              <w:i/>
              <w:iCs/>
              <w:sz w:val="20"/>
              <w:lang w:val="en-GB"/>
            </w:rPr>
            <w:t>Science Get Journal</w:t>
          </w:r>
        </w:p>
        <w:p w14:paraId="665CCF2B" w14:textId="1751903A" w:rsidR="00491296" w:rsidRPr="00B33078" w:rsidRDefault="00491296" w:rsidP="009234AE">
          <w:pPr>
            <w:pStyle w:val="Header"/>
            <w:jc w:val="right"/>
            <w:rPr>
              <w:rFonts w:ascii="Cambria" w:hAnsi="Cambria"/>
              <w:lang w:val="en-GB"/>
            </w:rPr>
          </w:pPr>
          <w:r w:rsidRPr="00B33078">
            <w:rPr>
              <w:rFonts w:ascii="Cambria" w:hAnsi="Cambria"/>
              <w:lang w:val="en-GB"/>
            </w:rPr>
            <w:t xml:space="preserve">Vol. </w:t>
          </w:r>
          <w:r>
            <w:rPr>
              <w:rFonts w:ascii="Cambria" w:hAnsi="Cambria"/>
              <w:lang w:val="en-GB"/>
            </w:rPr>
            <w:t xml:space="preserve"> </w:t>
          </w:r>
          <w:proofErr w:type="gramStart"/>
          <w:r w:rsidRPr="00327FE7">
            <w:rPr>
              <w:rFonts w:ascii="Cambria" w:hAnsi="Cambria"/>
              <w:lang w:val="en-GB"/>
            </w:rPr>
            <w:t>0</w:t>
          </w:r>
          <w:r w:rsidR="00652DBA">
            <w:rPr>
              <w:rFonts w:ascii="Cambria" w:hAnsi="Cambria"/>
              <w:lang w:val="en-GB"/>
            </w:rPr>
            <w:t>1</w:t>
          </w:r>
          <w:r>
            <w:rPr>
              <w:rFonts w:ascii="Cambria" w:hAnsi="Cambria"/>
              <w:lang w:val="en-GB"/>
            </w:rPr>
            <w:t xml:space="preserve"> </w:t>
          </w:r>
          <w:r w:rsidRPr="00B33078">
            <w:rPr>
              <w:rFonts w:ascii="Cambria" w:hAnsi="Cambria"/>
              <w:lang w:val="en-GB"/>
            </w:rPr>
            <w:t>,</w:t>
          </w:r>
          <w:proofErr w:type="gramEnd"/>
          <w:r w:rsidRPr="00B33078">
            <w:rPr>
              <w:rFonts w:ascii="Cambria" w:hAnsi="Cambria"/>
              <w:lang w:val="en-GB"/>
            </w:rPr>
            <w:t xml:space="preserve"> No.</w:t>
          </w:r>
          <w:r>
            <w:rPr>
              <w:rFonts w:ascii="Cambria" w:hAnsi="Cambria"/>
              <w:lang w:val="en-GB"/>
            </w:rPr>
            <w:t xml:space="preserve"> </w:t>
          </w:r>
          <w:proofErr w:type="gramStart"/>
          <w:r w:rsidR="00652DBA">
            <w:rPr>
              <w:rFonts w:ascii="Cambria" w:hAnsi="Cambria"/>
              <w:lang w:val="en-GB"/>
            </w:rPr>
            <w:t>3</w:t>
          </w:r>
          <w:r>
            <w:rPr>
              <w:rFonts w:ascii="Cambria" w:hAnsi="Cambria"/>
              <w:lang w:val="en-GB"/>
            </w:rPr>
            <w:t xml:space="preserve"> </w:t>
          </w:r>
          <w:r w:rsidRPr="00B33078">
            <w:rPr>
              <w:rFonts w:ascii="Cambria" w:hAnsi="Cambria"/>
              <w:lang w:val="en-GB"/>
            </w:rPr>
            <w:t>,</w:t>
          </w:r>
          <w:proofErr w:type="gramEnd"/>
          <w:r w:rsidRPr="00B33078">
            <w:rPr>
              <w:rFonts w:ascii="Cambria" w:hAnsi="Cambria"/>
              <w:lang w:val="en-GB"/>
            </w:rPr>
            <w:t xml:space="preserve"> </w:t>
          </w:r>
          <w:r w:rsidR="00652DBA">
            <w:rPr>
              <w:rFonts w:ascii="Cambria" w:hAnsi="Cambria"/>
              <w:lang w:val="en-GB"/>
            </w:rPr>
            <w:t>O</w:t>
          </w:r>
          <w:r w:rsidR="00F60337">
            <w:rPr>
              <w:rFonts w:ascii="Cambria" w:hAnsi="Cambria"/>
              <w:lang w:val="en-GB"/>
            </w:rPr>
            <w:t>c</w:t>
          </w:r>
          <w:r w:rsidR="00652DBA">
            <w:rPr>
              <w:rFonts w:ascii="Cambria" w:hAnsi="Cambria"/>
              <w:lang w:val="en-GB"/>
            </w:rPr>
            <w:t>tober</w:t>
          </w:r>
          <w:r w:rsidRPr="00B33078">
            <w:rPr>
              <w:rFonts w:ascii="Cambria" w:hAnsi="Cambria"/>
              <w:lang w:val="en-GB"/>
            </w:rPr>
            <w:t xml:space="preserve"> 202</w:t>
          </w:r>
          <w:r w:rsidR="00C067BA">
            <w:rPr>
              <w:rFonts w:ascii="Cambria" w:hAnsi="Cambria"/>
              <w:lang w:val="en-GB"/>
            </w:rPr>
            <w:t>4</w:t>
          </w:r>
          <w:r w:rsidR="00A91558">
            <w:rPr>
              <w:rFonts w:ascii="Cambria" w:hAnsi="Cambria"/>
              <w:lang w:val="en-GB"/>
            </w:rPr>
            <w:t>, 9-1</w:t>
          </w:r>
          <w:r w:rsidR="00F21E98">
            <w:rPr>
              <w:rFonts w:ascii="Cambria" w:hAnsi="Cambria"/>
              <w:lang w:val="en-GB"/>
            </w:rPr>
            <w:t>6</w:t>
          </w:r>
          <w:r w:rsidR="00A91558">
            <w:rPr>
              <w:rFonts w:ascii="Cambria" w:hAnsi="Cambria"/>
              <w:lang w:val="en-GB"/>
            </w:rPr>
            <w:t xml:space="preserve"> </w:t>
          </w:r>
        </w:p>
        <w:p w14:paraId="243ED7AB" w14:textId="267AA278" w:rsidR="00491296" w:rsidRPr="00F246D1" w:rsidRDefault="00491296" w:rsidP="009234AE">
          <w:pPr>
            <w:pStyle w:val="Header"/>
            <w:jc w:val="right"/>
            <w:rPr>
              <w:rFonts w:ascii="Antonio" w:hAnsi="Antonio"/>
              <w:sz w:val="20"/>
              <w:lang w:val="en-GB"/>
            </w:rPr>
          </w:pPr>
          <w:r w:rsidRPr="00B33078">
            <w:rPr>
              <w:rStyle w:val="Emphasis"/>
              <w:rFonts w:ascii="Cambria" w:hAnsi="Cambria" w:cs="Helvetica"/>
              <w:b/>
              <w:bCs/>
              <w:color w:val="2C3E50"/>
              <w:sz w:val="23"/>
              <w:szCs w:val="23"/>
            </w:rPr>
            <w:t>e</w:t>
          </w:r>
          <w:r>
            <w:rPr>
              <w:rStyle w:val="Emphasis"/>
              <w:rFonts w:ascii="Cambria" w:hAnsi="Cambria" w:cs="Helvetica"/>
              <w:b/>
              <w:bCs/>
              <w:color w:val="2C3E50"/>
              <w:sz w:val="23"/>
              <w:szCs w:val="23"/>
              <w:lang w:val="en-ID"/>
            </w:rPr>
            <w:t>-</w:t>
          </w:r>
          <w:r w:rsidRPr="00B33078">
            <w:rPr>
              <w:rStyle w:val="Strong"/>
              <w:rFonts w:ascii="Cambria" w:hAnsi="Cambria" w:cs="Helvetica"/>
              <w:color w:val="2C3E50"/>
              <w:sz w:val="23"/>
              <w:szCs w:val="23"/>
            </w:rPr>
            <w:t>ISSN</w:t>
          </w:r>
          <w:r w:rsidRPr="00B33078">
            <w:rPr>
              <w:rFonts w:ascii="Cambria" w:hAnsi="Cambria" w:cs="Helvetica"/>
              <w:color w:val="2C3E50"/>
              <w:sz w:val="23"/>
              <w:szCs w:val="23"/>
            </w:rPr>
            <w:t>: </w:t>
          </w:r>
          <w:r w:rsidR="001A1450" w:rsidRPr="001A1450">
            <w:rPr>
              <w:rFonts w:ascii="Cambria" w:hAnsi="Cambria"/>
              <w:b/>
              <w:bCs/>
            </w:rPr>
            <w:t>3062-6595</w:t>
          </w:r>
        </w:p>
      </w:tc>
    </w:tr>
  </w:tbl>
  <w:p w14:paraId="6F19EB38" w14:textId="5AFD3FDC" w:rsidR="00491296" w:rsidRPr="00491296" w:rsidRDefault="00491296" w:rsidP="009234AE">
    <w:pPr>
      <w:pStyle w:val="Header"/>
      <w:rPr>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44231"/>
    <w:multiLevelType w:val="hybridMultilevel"/>
    <w:tmpl w:val="5C9AF02A"/>
    <w:lvl w:ilvl="0" w:tplc="3809000F">
      <w:start w:val="1"/>
      <w:numFmt w:val="decimal"/>
      <w:lvlText w:val="%1."/>
      <w:lvlJc w:val="left"/>
      <w:pPr>
        <w:ind w:left="1080" w:hanging="720"/>
      </w:pPr>
      <w:rPr>
        <w:rFonts w:hint="default"/>
      </w:rPr>
    </w:lvl>
    <w:lvl w:ilvl="1" w:tplc="9724BFC4">
      <w:start w:val="4"/>
      <w:numFmt w:val="bullet"/>
      <w:lvlText w:val="-"/>
      <w:lvlJc w:val="left"/>
      <w:pPr>
        <w:ind w:left="1440" w:hanging="360"/>
      </w:pPr>
      <w:rPr>
        <w:rFonts w:ascii="Cambria" w:eastAsia="Calibri" w:hAnsi="Cambria"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9A0507"/>
    <w:multiLevelType w:val="hybridMultilevel"/>
    <w:tmpl w:val="A902605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D70C14"/>
    <w:multiLevelType w:val="multilevel"/>
    <w:tmpl w:val="28F49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132749"/>
    <w:multiLevelType w:val="hybridMultilevel"/>
    <w:tmpl w:val="C07AA6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7FB27C7"/>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1226FF"/>
    <w:multiLevelType w:val="multilevel"/>
    <w:tmpl w:val="6366C9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843891"/>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42209F"/>
    <w:multiLevelType w:val="multilevel"/>
    <w:tmpl w:val="9AE6E634"/>
    <w:lvl w:ilvl="0">
      <w:start w:val="3"/>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635779"/>
    <w:multiLevelType w:val="hybridMultilevel"/>
    <w:tmpl w:val="94B0A29A"/>
    <w:lvl w:ilvl="0" w:tplc="A2C28A9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1FBD5039"/>
    <w:multiLevelType w:val="multilevel"/>
    <w:tmpl w:val="E65CF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755247"/>
    <w:multiLevelType w:val="hybridMultilevel"/>
    <w:tmpl w:val="C67AEA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6203C5"/>
    <w:multiLevelType w:val="hybridMultilevel"/>
    <w:tmpl w:val="AA60B0B0"/>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8BE3914"/>
    <w:multiLevelType w:val="hybridMultilevel"/>
    <w:tmpl w:val="FB36041E"/>
    <w:lvl w:ilvl="0" w:tplc="A170B85A">
      <w:start w:val="1"/>
      <w:numFmt w:val="lowerLetter"/>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A554AA8"/>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867E1A"/>
    <w:multiLevelType w:val="hybridMultilevel"/>
    <w:tmpl w:val="E480B530"/>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BA637F3"/>
    <w:multiLevelType w:val="hybridMultilevel"/>
    <w:tmpl w:val="46F452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BEE01D7"/>
    <w:multiLevelType w:val="hybridMultilevel"/>
    <w:tmpl w:val="8FF67156"/>
    <w:lvl w:ilvl="0" w:tplc="A170B85A">
      <w:start w:val="1"/>
      <w:numFmt w:val="lowerLetter"/>
      <w:lvlText w:val="%1."/>
      <w:lvlJc w:val="left"/>
      <w:pPr>
        <w:ind w:left="1080" w:hanging="720"/>
      </w:pPr>
      <w:rPr>
        <w:rFonts w:hint="default"/>
      </w:r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01D14CD"/>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7946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07066B"/>
    <w:multiLevelType w:val="hybridMultilevel"/>
    <w:tmpl w:val="DA4ADC14"/>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61A415F"/>
    <w:multiLevelType w:val="multilevel"/>
    <w:tmpl w:val="2DA2F3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A6455C6"/>
    <w:multiLevelType w:val="multilevel"/>
    <w:tmpl w:val="AABEAB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9032D4"/>
    <w:multiLevelType w:val="hybridMultilevel"/>
    <w:tmpl w:val="E0FCD9EE"/>
    <w:lvl w:ilvl="0" w:tplc="F8BAC30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5" w15:restartNumberingAfterBreak="0">
    <w:nsid w:val="4F9D7CA5"/>
    <w:multiLevelType w:val="hybridMultilevel"/>
    <w:tmpl w:val="547C9E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1B13635"/>
    <w:multiLevelType w:val="multilevel"/>
    <w:tmpl w:val="8ED64E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528196A"/>
    <w:multiLevelType w:val="multilevel"/>
    <w:tmpl w:val="756C0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53C3483"/>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5B95089"/>
    <w:multiLevelType w:val="multilevel"/>
    <w:tmpl w:val="A67435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7256B3E"/>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93332EA"/>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9F72297"/>
    <w:multiLevelType w:val="hybridMultilevel"/>
    <w:tmpl w:val="850A70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C7C46C5"/>
    <w:multiLevelType w:val="hybridMultilevel"/>
    <w:tmpl w:val="7BF02F7E"/>
    <w:lvl w:ilvl="0" w:tplc="A2C28A98">
      <w:start w:val="1"/>
      <w:numFmt w:val="decimal"/>
      <w:lvlText w:val="%1."/>
      <w:lvlJc w:val="left"/>
      <w:pPr>
        <w:ind w:left="1636"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4" w15:restartNumberingAfterBreak="0">
    <w:nsid w:val="5C8B1059"/>
    <w:multiLevelType w:val="multilevel"/>
    <w:tmpl w:val="C874C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20F1714"/>
    <w:multiLevelType w:val="hybridMultilevel"/>
    <w:tmpl w:val="3FC6DC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2732A91"/>
    <w:multiLevelType w:val="hybridMultilevel"/>
    <w:tmpl w:val="952673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3F50355"/>
    <w:multiLevelType w:val="hybridMultilevel"/>
    <w:tmpl w:val="57C0CD1C"/>
    <w:lvl w:ilvl="0" w:tplc="55B0CA02">
      <w:start w:val="1"/>
      <w:numFmt w:val="decimal"/>
      <w:lvlText w:val="[%1] "/>
      <w:lvlJc w:val="left"/>
      <w:pPr>
        <w:ind w:left="720" w:hanging="360"/>
      </w:pPr>
      <w:rPr>
        <w:rFonts w:ascii="Cambria" w:hAnsi="Cambria"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415C52"/>
    <w:multiLevelType w:val="multilevel"/>
    <w:tmpl w:val="E73A47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53B5792"/>
    <w:multiLevelType w:val="hybridMultilevel"/>
    <w:tmpl w:val="918ABD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B6F3E87"/>
    <w:multiLevelType w:val="hybridMultilevel"/>
    <w:tmpl w:val="C48E0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22D07F2"/>
    <w:multiLevelType w:val="multilevel"/>
    <w:tmpl w:val="00E6F7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4F242CE"/>
    <w:multiLevelType w:val="hybridMultilevel"/>
    <w:tmpl w:val="5308B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82C0B74"/>
    <w:multiLevelType w:val="hybridMultilevel"/>
    <w:tmpl w:val="2F22AD9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4" w15:restartNumberingAfterBreak="0">
    <w:nsid w:val="7A321288"/>
    <w:multiLevelType w:val="hybridMultilevel"/>
    <w:tmpl w:val="1F0A07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B2173DC"/>
    <w:multiLevelType w:val="hybridMultilevel"/>
    <w:tmpl w:val="184EDD5C"/>
    <w:lvl w:ilvl="0" w:tplc="6C4ADA6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82730B"/>
    <w:multiLevelType w:val="multilevel"/>
    <w:tmpl w:val="81BEC92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D9B664F"/>
    <w:multiLevelType w:val="multilevel"/>
    <w:tmpl w:val="7D8AA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12029499">
    <w:abstractNumId w:val="36"/>
  </w:num>
  <w:num w:numId="2" w16cid:durableId="469789678">
    <w:abstractNumId w:val="21"/>
  </w:num>
  <w:num w:numId="3" w16cid:durableId="866412718">
    <w:abstractNumId w:val="16"/>
  </w:num>
  <w:num w:numId="4" w16cid:durableId="964236896">
    <w:abstractNumId w:val="40"/>
  </w:num>
  <w:num w:numId="5" w16cid:durableId="2023972678">
    <w:abstractNumId w:val="32"/>
  </w:num>
  <w:num w:numId="6" w16cid:durableId="1929344726">
    <w:abstractNumId w:val="42"/>
  </w:num>
  <w:num w:numId="7" w16cid:durableId="1634480751">
    <w:abstractNumId w:val="43"/>
  </w:num>
  <w:num w:numId="8" w16cid:durableId="627705755">
    <w:abstractNumId w:val="9"/>
  </w:num>
  <w:num w:numId="9" w16cid:durableId="872109502">
    <w:abstractNumId w:val="33"/>
  </w:num>
  <w:num w:numId="10" w16cid:durableId="1661738421">
    <w:abstractNumId w:val="24"/>
  </w:num>
  <w:num w:numId="11" w16cid:durableId="1595163806">
    <w:abstractNumId w:val="38"/>
  </w:num>
  <w:num w:numId="12" w16cid:durableId="2136823217">
    <w:abstractNumId w:val="23"/>
  </w:num>
  <w:num w:numId="13" w16cid:durableId="853762783">
    <w:abstractNumId w:val="28"/>
  </w:num>
  <w:num w:numId="14" w16cid:durableId="808592295">
    <w:abstractNumId w:val="10"/>
  </w:num>
  <w:num w:numId="15" w16cid:durableId="1663315932">
    <w:abstractNumId w:val="3"/>
  </w:num>
  <w:num w:numId="16" w16cid:durableId="1420524922">
    <w:abstractNumId w:val="34"/>
  </w:num>
  <w:num w:numId="17" w16cid:durableId="682559444">
    <w:abstractNumId w:val="29"/>
  </w:num>
  <w:num w:numId="18" w16cid:durableId="1138375242">
    <w:abstractNumId w:val="6"/>
  </w:num>
  <w:num w:numId="19" w16cid:durableId="282856289">
    <w:abstractNumId w:val="26"/>
  </w:num>
  <w:num w:numId="20" w16cid:durableId="1901134460">
    <w:abstractNumId w:val="22"/>
  </w:num>
  <w:num w:numId="21" w16cid:durableId="1293292572">
    <w:abstractNumId w:val="46"/>
  </w:num>
  <w:num w:numId="22" w16cid:durableId="1408187899">
    <w:abstractNumId w:val="47"/>
  </w:num>
  <w:num w:numId="23" w16cid:durableId="997418607">
    <w:abstractNumId w:val="41"/>
  </w:num>
  <w:num w:numId="24" w16cid:durableId="1290744784">
    <w:abstractNumId w:val="27"/>
  </w:num>
  <w:num w:numId="25" w16cid:durableId="34164747">
    <w:abstractNumId w:val="4"/>
  </w:num>
  <w:num w:numId="26" w16cid:durableId="1395859227">
    <w:abstractNumId w:val="44"/>
  </w:num>
  <w:num w:numId="27" w16cid:durableId="258880531">
    <w:abstractNumId w:val="1"/>
  </w:num>
  <w:num w:numId="28" w16cid:durableId="1031224241">
    <w:abstractNumId w:val="14"/>
  </w:num>
  <w:num w:numId="29" w16cid:durableId="1112824003">
    <w:abstractNumId w:val="18"/>
  </w:num>
  <w:num w:numId="30" w16cid:durableId="127824092">
    <w:abstractNumId w:val="5"/>
  </w:num>
  <w:num w:numId="31" w16cid:durableId="369307577">
    <w:abstractNumId w:val="39"/>
  </w:num>
  <w:num w:numId="32" w16cid:durableId="1966614865">
    <w:abstractNumId w:val="13"/>
  </w:num>
  <w:num w:numId="33" w16cid:durableId="465902539">
    <w:abstractNumId w:val="17"/>
  </w:num>
  <w:num w:numId="34" w16cid:durableId="349991022">
    <w:abstractNumId w:val="7"/>
  </w:num>
  <w:num w:numId="35" w16cid:durableId="1133137467">
    <w:abstractNumId w:val="31"/>
  </w:num>
  <w:num w:numId="36" w16cid:durableId="569079750">
    <w:abstractNumId w:val="25"/>
  </w:num>
  <w:num w:numId="37" w16cid:durableId="1517692352">
    <w:abstractNumId w:val="30"/>
  </w:num>
  <w:num w:numId="38" w16cid:durableId="2084525655">
    <w:abstractNumId w:val="15"/>
  </w:num>
  <w:num w:numId="39" w16cid:durableId="250508452">
    <w:abstractNumId w:val="19"/>
  </w:num>
  <w:num w:numId="40" w16cid:durableId="1794445362">
    <w:abstractNumId w:val="0"/>
  </w:num>
  <w:num w:numId="41" w16cid:durableId="1202011221">
    <w:abstractNumId w:val="20"/>
  </w:num>
  <w:num w:numId="42" w16cid:durableId="791552725">
    <w:abstractNumId w:val="8"/>
  </w:num>
  <w:num w:numId="43" w16cid:durableId="239102245">
    <w:abstractNumId w:val="45"/>
  </w:num>
  <w:num w:numId="44" w16cid:durableId="1709261102">
    <w:abstractNumId w:val="12"/>
  </w:num>
  <w:num w:numId="45" w16cid:durableId="13469000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4549466">
    <w:abstractNumId w:val="37"/>
  </w:num>
  <w:num w:numId="47" w16cid:durableId="110902309">
    <w:abstractNumId w:val="35"/>
  </w:num>
  <w:num w:numId="48" w16cid:durableId="1599366392">
    <w:abstractNumId w:val="11"/>
  </w:num>
  <w:num w:numId="49" w16cid:durableId="1658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MzQxMLQAsg0sDZV0lIJTi4sz8/NACixrAWrZLnEsAAAA"/>
  </w:docVars>
  <w:rsids>
    <w:rsidRoot w:val="00FB4343"/>
    <w:rsid w:val="00004CF9"/>
    <w:rsid w:val="00014622"/>
    <w:rsid w:val="000266E6"/>
    <w:rsid w:val="000345E0"/>
    <w:rsid w:val="000450A8"/>
    <w:rsid w:val="000605BA"/>
    <w:rsid w:val="0009400D"/>
    <w:rsid w:val="0009664C"/>
    <w:rsid w:val="000B7686"/>
    <w:rsid w:val="000C1E7C"/>
    <w:rsid w:val="000E4301"/>
    <w:rsid w:val="000F51F6"/>
    <w:rsid w:val="00104461"/>
    <w:rsid w:val="00122007"/>
    <w:rsid w:val="00132A54"/>
    <w:rsid w:val="001359DC"/>
    <w:rsid w:val="00143625"/>
    <w:rsid w:val="00146082"/>
    <w:rsid w:val="001646C5"/>
    <w:rsid w:val="00186C4B"/>
    <w:rsid w:val="001A1450"/>
    <w:rsid w:val="001B0459"/>
    <w:rsid w:val="001B06F0"/>
    <w:rsid w:val="001B1BB7"/>
    <w:rsid w:val="001C69FA"/>
    <w:rsid w:val="001E4547"/>
    <w:rsid w:val="001E459E"/>
    <w:rsid w:val="001F31BF"/>
    <w:rsid w:val="001F5B8E"/>
    <w:rsid w:val="00231D4A"/>
    <w:rsid w:val="00241094"/>
    <w:rsid w:val="00282D55"/>
    <w:rsid w:val="00295DBD"/>
    <w:rsid w:val="002A2EEF"/>
    <w:rsid w:val="002A3A57"/>
    <w:rsid w:val="002A5565"/>
    <w:rsid w:val="002B50EE"/>
    <w:rsid w:val="002C0037"/>
    <w:rsid w:val="00302652"/>
    <w:rsid w:val="00327FE7"/>
    <w:rsid w:val="00335976"/>
    <w:rsid w:val="00350060"/>
    <w:rsid w:val="0036069D"/>
    <w:rsid w:val="00373C7E"/>
    <w:rsid w:val="00374624"/>
    <w:rsid w:val="00390B9A"/>
    <w:rsid w:val="00393CB2"/>
    <w:rsid w:val="003A06AE"/>
    <w:rsid w:val="003B736C"/>
    <w:rsid w:val="003C7776"/>
    <w:rsid w:val="003D11F7"/>
    <w:rsid w:val="003D6533"/>
    <w:rsid w:val="004005F2"/>
    <w:rsid w:val="00413853"/>
    <w:rsid w:val="00415707"/>
    <w:rsid w:val="004161B3"/>
    <w:rsid w:val="00430736"/>
    <w:rsid w:val="004607EF"/>
    <w:rsid w:val="0046361C"/>
    <w:rsid w:val="00464FF8"/>
    <w:rsid w:val="00466632"/>
    <w:rsid w:val="004675F5"/>
    <w:rsid w:val="00473491"/>
    <w:rsid w:val="00490316"/>
    <w:rsid w:val="00491296"/>
    <w:rsid w:val="00495047"/>
    <w:rsid w:val="00497176"/>
    <w:rsid w:val="004A1074"/>
    <w:rsid w:val="004A6EDA"/>
    <w:rsid w:val="004D7D27"/>
    <w:rsid w:val="004E74D3"/>
    <w:rsid w:val="0050072A"/>
    <w:rsid w:val="00513F89"/>
    <w:rsid w:val="005234E8"/>
    <w:rsid w:val="00527A16"/>
    <w:rsid w:val="00533B5F"/>
    <w:rsid w:val="00535BF6"/>
    <w:rsid w:val="0055190E"/>
    <w:rsid w:val="00576EE1"/>
    <w:rsid w:val="005A1DA6"/>
    <w:rsid w:val="005A1FE9"/>
    <w:rsid w:val="005A53C9"/>
    <w:rsid w:val="005A63E8"/>
    <w:rsid w:val="005D24F3"/>
    <w:rsid w:val="005D32B8"/>
    <w:rsid w:val="005D3522"/>
    <w:rsid w:val="005F496C"/>
    <w:rsid w:val="00604C48"/>
    <w:rsid w:val="00630644"/>
    <w:rsid w:val="00640BFA"/>
    <w:rsid w:val="00652DBA"/>
    <w:rsid w:val="0067725F"/>
    <w:rsid w:val="00684AE4"/>
    <w:rsid w:val="006A1C3A"/>
    <w:rsid w:val="006A625C"/>
    <w:rsid w:val="006B225A"/>
    <w:rsid w:val="006B232B"/>
    <w:rsid w:val="006C1431"/>
    <w:rsid w:val="006C1CD9"/>
    <w:rsid w:val="006C2615"/>
    <w:rsid w:val="006C6B3C"/>
    <w:rsid w:val="006E590B"/>
    <w:rsid w:val="006F0A19"/>
    <w:rsid w:val="007041C5"/>
    <w:rsid w:val="00714D97"/>
    <w:rsid w:val="00724F08"/>
    <w:rsid w:val="00737BAA"/>
    <w:rsid w:val="007424EE"/>
    <w:rsid w:val="00753851"/>
    <w:rsid w:val="007569C2"/>
    <w:rsid w:val="00757B91"/>
    <w:rsid w:val="007673E4"/>
    <w:rsid w:val="00781334"/>
    <w:rsid w:val="0078288D"/>
    <w:rsid w:val="00783391"/>
    <w:rsid w:val="007969F4"/>
    <w:rsid w:val="007A7051"/>
    <w:rsid w:val="007B2455"/>
    <w:rsid w:val="007E1DF1"/>
    <w:rsid w:val="007E6208"/>
    <w:rsid w:val="00806495"/>
    <w:rsid w:val="00825248"/>
    <w:rsid w:val="008518E4"/>
    <w:rsid w:val="008526AB"/>
    <w:rsid w:val="00861513"/>
    <w:rsid w:val="00863F66"/>
    <w:rsid w:val="008A28E7"/>
    <w:rsid w:val="008A5211"/>
    <w:rsid w:val="008B34BE"/>
    <w:rsid w:val="008C4B9E"/>
    <w:rsid w:val="00915352"/>
    <w:rsid w:val="009171B2"/>
    <w:rsid w:val="009234AE"/>
    <w:rsid w:val="009234CE"/>
    <w:rsid w:val="00961D87"/>
    <w:rsid w:val="009676E0"/>
    <w:rsid w:val="009A55BD"/>
    <w:rsid w:val="009B147B"/>
    <w:rsid w:val="009B7044"/>
    <w:rsid w:val="009B7532"/>
    <w:rsid w:val="009C4FAF"/>
    <w:rsid w:val="009C56F5"/>
    <w:rsid w:val="009D22BA"/>
    <w:rsid w:val="009E106E"/>
    <w:rsid w:val="009E20A4"/>
    <w:rsid w:val="009F1815"/>
    <w:rsid w:val="009F706E"/>
    <w:rsid w:val="00A0390F"/>
    <w:rsid w:val="00A045FE"/>
    <w:rsid w:val="00A23FE2"/>
    <w:rsid w:val="00A26EB1"/>
    <w:rsid w:val="00A300C0"/>
    <w:rsid w:val="00A415E1"/>
    <w:rsid w:val="00A46A7C"/>
    <w:rsid w:val="00A513BE"/>
    <w:rsid w:val="00A66403"/>
    <w:rsid w:val="00A67DF7"/>
    <w:rsid w:val="00A91558"/>
    <w:rsid w:val="00A940B9"/>
    <w:rsid w:val="00A97FCC"/>
    <w:rsid w:val="00AA0429"/>
    <w:rsid w:val="00AA42FF"/>
    <w:rsid w:val="00AA5E11"/>
    <w:rsid w:val="00AB4C7F"/>
    <w:rsid w:val="00AC2F38"/>
    <w:rsid w:val="00AD4E08"/>
    <w:rsid w:val="00B05086"/>
    <w:rsid w:val="00B06AF2"/>
    <w:rsid w:val="00B10BE8"/>
    <w:rsid w:val="00B33078"/>
    <w:rsid w:val="00B42BEF"/>
    <w:rsid w:val="00B47E42"/>
    <w:rsid w:val="00B507E9"/>
    <w:rsid w:val="00B624C2"/>
    <w:rsid w:val="00B83951"/>
    <w:rsid w:val="00B83E40"/>
    <w:rsid w:val="00BA0D63"/>
    <w:rsid w:val="00BA254B"/>
    <w:rsid w:val="00BC233D"/>
    <w:rsid w:val="00BE2938"/>
    <w:rsid w:val="00BE3B38"/>
    <w:rsid w:val="00BE571C"/>
    <w:rsid w:val="00BF32E5"/>
    <w:rsid w:val="00C05210"/>
    <w:rsid w:val="00C067BA"/>
    <w:rsid w:val="00C12E26"/>
    <w:rsid w:val="00C30E10"/>
    <w:rsid w:val="00C402DD"/>
    <w:rsid w:val="00C57E29"/>
    <w:rsid w:val="00C605DA"/>
    <w:rsid w:val="00C608B6"/>
    <w:rsid w:val="00C626C2"/>
    <w:rsid w:val="00C64541"/>
    <w:rsid w:val="00C84394"/>
    <w:rsid w:val="00C85850"/>
    <w:rsid w:val="00CA01EC"/>
    <w:rsid w:val="00CB0A68"/>
    <w:rsid w:val="00CE5F71"/>
    <w:rsid w:val="00D03184"/>
    <w:rsid w:val="00D358B3"/>
    <w:rsid w:val="00D369B3"/>
    <w:rsid w:val="00D47380"/>
    <w:rsid w:val="00D53248"/>
    <w:rsid w:val="00D723A2"/>
    <w:rsid w:val="00D82F8F"/>
    <w:rsid w:val="00D90050"/>
    <w:rsid w:val="00DB570A"/>
    <w:rsid w:val="00DD7C6E"/>
    <w:rsid w:val="00DE5470"/>
    <w:rsid w:val="00E2299B"/>
    <w:rsid w:val="00E25CDC"/>
    <w:rsid w:val="00E34F3E"/>
    <w:rsid w:val="00E352DA"/>
    <w:rsid w:val="00E37F2E"/>
    <w:rsid w:val="00E667AD"/>
    <w:rsid w:val="00E801B4"/>
    <w:rsid w:val="00E839DF"/>
    <w:rsid w:val="00E83E52"/>
    <w:rsid w:val="00E872C2"/>
    <w:rsid w:val="00EA4C3C"/>
    <w:rsid w:val="00EB3F95"/>
    <w:rsid w:val="00EC1DB9"/>
    <w:rsid w:val="00EC4990"/>
    <w:rsid w:val="00ED3CD2"/>
    <w:rsid w:val="00EE118C"/>
    <w:rsid w:val="00EF6A29"/>
    <w:rsid w:val="00F02A75"/>
    <w:rsid w:val="00F02ECF"/>
    <w:rsid w:val="00F21E98"/>
    <w:rsid w:val="00F246D1"/>
    <w:rsid w:val="00F25802"/>
    <w:rsid w:val="00F329EC"/>
    <w:rsid w:val="00F34D45"/>
    <w:rsid w:val="00F51A15"/>
    <w:rsid w:val="00F60337"/>
    <w:rsid w:val="00F6111E"/>
    <w:rsid w:val="00F62766"/>
    <w:rsid w:val="00F657B1"/>
    <w:rsid w:val="00F72B4E"/>
    <w:rsid w:val="00F87744"/>
    <w:rsid w:val="00FA116A"/>
    <w:rsid w:val="00FA476E"/>
    <w:rsid w:val="00FB02B0"/>
    <w:rsid w:val="00FB4343"/>
    <w:rsid w:val="00FC54A4"/>
    <w:rsid w:val="00FD39CB"/>
    <w:rsid w:val="00FD706B"/>
    <w:rsid w:val="00FE241E"/>
    <w:rsid w:val="00FE4A37"/>
    <w:rsid w:val="00FF01F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6CEA8"/>
  <w15:chartTrackingRefBased/>
  <w15:docId w15:val="{642D86B9-6DFB-4F93-9555-B56CDB85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Arabic" w:eastAsia="Calibri" w:hAnsi="Times New Arabic"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AB"/>
    <w:pPr>
      <w:spacing w:after="200" w:line="276" w:lineRule="auto"/>
    </w:pPr>
    <w:rPr>
      <w:rFonts w:ascii="Calibri" w:hAnsi="Calibri"/>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39"/>
    <w:rsid w:val="007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6EE1"/>
    <w:rPr>
      <w:color w:val="0563C1"/>
      <w:u w:val="single"/>
    </w:rPr>
  </w:style>
  <w:style w:type="character" w:styleId="UnresolvedMention">
    <w:name w:val="Unresolved Mention"/>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Heading 10,Body Text Char1,Char Char2,List Paragraph2,List Paragraph1"/>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DPI51figurecaption">
    <w:name w:val="MDPI_5.1_figure_caption"/>
    <w:qFormat/>
    <w:rsid w:val="00F25802"/>
    <w:pPr>
      <w:adjustRightInd w:val="0"/>
      <w:snapToGrid w:val="0"/>
      <w:spacing w:before="120" w:after="240" w:line="228" w:lineRule="auto"/>
      <w:ind w:left="2608"/>
      <w:jc w:val="both"/>
    </w:pPr>
    <w:rPr>
      <w:rFonts w:ascii="Palatino Linotype" w:eastAsia="Times New Roman" w:hAnsi="Palatino Linotype" w:cs="Times New Roman"/>
      <w:color w:val="000000"/>
      <w:sz w:val="18"/>
      <w:lang w:val="en-US" w:eastAsia="de-DE" w:bidi="en-US"/>
    </w:rPr>
  </w:style>
  <w:style w:type="paragraph" w:customStyle="1" w:styleId="MDPI52figure">
    <w:name w:val="MDPI_5.2_figure"/>
    <w:qFormat/>
    <w:rsid w:val="00C84394"/>
    <w:pPr>
      <w:adjustRightInd w:val="0"/>
      <w:snapToGrid w:val="0"/>
      <w:spacing w:before="240" w:after="120"/>
      <w:jc w:val="center"/>
    </w:pPr>
    <w:rPr>
      <w:rFonts w:ascii="Palatino Linotype" w:eastAsia="Times New Roman" w:hAnsi="Palatino Linotype" w:cs="Times New Roman"/>
      <w:snapToGrid w:val="0"/>
      <w:color w:val="000000"/>
      <w:lang w:val="en-US" w:eastAsia="de-DE" w:bidi="en-US"/>
    </w:rPr>
  </w:style>
  <w:style w:type="paragraph" w:customStyle="1" w:styleId="MDPI31text">
    <w:name w:val="MDPI_3.1_text"/>
    <w:qFormat/>
    <w:rsid w:val="006E590B"/>
    <w:pPr>
      <w:adjustRightInd w:val="0"/>
      <w:snapToGrid w:val="0"/>
      <w:spacing w:line="228" w:lineRule="auto"/>
      <w:ind w:left="2608" w:firstLine="425"/>
      <w:jc w:val="both"/>
    </w:pPr>
    <w:rPr>
      <w:rFonts w:ascii="Palatino Linotype" w:eastAsia="Times New Roman" w:hAnsi="Palatino Linotype" w:cs="Times New Roman"/>
      <w:snapToGrid w:val="0"/>
      <w:color w:val="000000"/>
      <w:szCs w:val="22"/>
      <w:lang w:val="en-US" w:eastAsia="de-DE" w:bidi="en-US"/>
    </w:rPr>
  </w:style>
  <w:style w:type="paragraph" w:customStyle="1" w:styleId="MDPI21heading1">
    <w:name w:val="MDPI_2.1_heading1"/>
    <w:qFormat/>
    <w:rsid w:val="006E590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Cs w:val="22"/>
      <w:lang w:val="en-US" w:eastAsia="de-DE" w:bidi="en-US"/>
    </w:rPr>
  </w:style>
  <w:style w:type="paragraph" w:customStyle="1" w:styleId="MDPI71References">
    <w:name w:val="MDPI_7.1_References"/>
    <w:qFormat/>
    <w:rsid w:val="00630644"/>
    <w:pPr>
      <w:numPr>
        <w:numId w:val="43"/>
      </w:numPr>
      <w:adjustRightInd w:val="0"/>
      <w:snapToGrid w:val="0"/>
      <w:spacing w:line="228" w:lineRule="auto"/>
      <w:jc w:val="both"/>
    </w:pPr>
    <w:rPr>
      <w:rFonts w:ascii="Palatino Linotype" w:eastAsia="Times New Roman" w:hAnsi="Palatino Linotype" w:cs="Times New Roman"/>
      <w:color w:val="000000"/>
      <w:sz w:val="18"/>
      <w:lang w:val="en-US" w:eastAsia="de-DE" w:bidi="en-US"/>
    </w:rPr>
  </w:style>
  <w:style w:type="character" w:styleId="CommentReference">
    <w:name w:val="annotation reference"/>
    <w:basedOn w:val="DefaultParagraphFont"/>
    <w:uiPriority w:val="99"/>
    <w:semiHidden/>
    <w:unhideWhenUsed/>
    <w:rsid w:val="00E667AD"/>
    <w:rPr>
      <w:sz w:val="16"/>
      <w:szCs w:val="16"/>
    </w:rPr>
  </w:style>
  <w:style w:type="paragraph" w:styleId="CommentText">
    <w:name w:val="annotation text"/>
    <w:basedOn w:val="Normal"/>
    <w:link w:val="CommentTextChar"/>
    <w:uiPriority w:val="99"/>
    <w:unhideWhenUsed/>
    <w:rsid w:val="00E667AD"/>
    <w:pPr>
      <w:spacing w:line="240" w:lineRule="auto"/>
    </w:pPr>
    <w:rPr>
      <w:sz w:val="20"/>
      <w:szCs w:val="20"/>
    </w:rPr>
  </w:style>
  <w:style w:type="character" w:customStyle="1" w:styleId="CommentTextChar">
    <w:name w:val="Comment Text Char"/>
    <w:basedOn w:val="DefaultParagraphFont"/>
    <w:link w:val="CommentText"/>
    <w:uiPriority w:val="99"/>
    <w:rsid w:val="00E667AD"/>
    <w:rPr>
      <w:rFonts w:ascii="Calibri" w:hAnsi="Calibri"/>
      <w:lang w:val="id-ID" w:eastAsia="en-US"/>
    </w:rPr>
  </w:style>
  <w:style w:type="paragraph" w:styleId="CommentSubject">
    <w:name w:val="annotation subject"/>
    <w:basedOn w:val="CommentText"/>
    <w:next w:val="CommentText"/>
    <w:link w:val="CommentSubjectChar"/>
    <w:uiPriority w:val="99"/>
    <w:semiHidden/>
    <w:unhideWhenUsed/>
    <w:rsid w:val="00E667AD"/>
    <w:rPr>
      <w:b/>
      <w:bCs/>
    </w:rPr>
  </w:style>
  <w:style w:type="character" w:customStyle="1" w:styleId="CommentSubjectChar">
    <w:name w:val="Comment Subject Char"/>
    <w:basedOn w:val="CommentTextChar"/>
    <w:link w:val="CommentSubject"/>
    <w:uiPriority w:val="99"/>
    <w:semiHidden/>
    <w:rsid w:val="00E667AD"/>
    <w:rPr>
      <w:rFonts w:ascii="Calibri" w:hAnsi="Calibri"/>
      <w:b/>
      <w:bCs/>
      <w:lang w:val="id-ID" w:eastAsia="en-US"/>
    </w:rPr>
  </w:style>
  <w:style w:type="paragraph" w:styleId="BalloonText">
    <w:name w:val="Balloon Text"/>
    <w:basedOn w:val="Normal"/>
    <w:link w:val="BalloonTextChar"/>
    <w:uiPriority w:val="99"/>
    <w:semiHidden/>
    <w:unhideWhenUsed/>
    <w:rsid w:val="00AC2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F38"/>
    <w:rPr>
      <w:rFonts w:ascii="Segoe UI" w:hAnsi="Segoe UI" w:cs="Segoe UI"/>
      <w:sz w:val="18"/>
      <w:szCs w:val="18"/>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4638">
      <w:bodyDiv w:val="1"/>
      <w:marLeft w:val="0"/>
      <w:marRight w:val="0"/>
      <w:marTop w:val="0"/>
      <w:marBottom w:val="0"/>
      <w:divBdr>
        <w:top w:val="none" w:sz="0" w:space="0" w:color="auto"/>
        <w:left w:val="none" w:sz="0" w:space="0" w:color="auto"/>
        <w:bottom w:val="none" w:sz="0" w:space="0" w:color="auto"/>
        <w:right w:val="none" w:sz="0" w:space="0" w:color="auto"/>
      </w:divBdr>
    </w:div>
    <w:div w:id="349258632">
      <w:bodyDiv w:val="1"/>
      <w:marLeft w:val="0"/>
      <w:marRight w:val="0"/>
      <w:marTop w:val="0"/>
      <w:marBottom w:val="0"/>
      <w:divBdr>
        <w:top w:val="none" w:sz="0" w:space="0" w:color="auto"/>
        <w:left w:val="none" w:sz="0" w:space="0" w:color="auto"/>
        <w:bottom w:val="none" w:sz="0" w:space="0" w:color="auto"/>
        <w:right w:val="none" w:sz="0" w:space="0" w:color="auto"/>
      </w:divBdr>
    </w:div>
    <w:div w:id="569342631">
      <w:bodyDiv w:val="1"/>
      <w:marLeft w:val="0"/>
      <w:marRight w:val="0"/>
      <w:marTop w:val="0"/>
      <w:marBottom w:val="0"/>
      <w:divBdr>
        <w:top w:val="none" w:sz="0" w:space="0" w:color="auto"/>
        <w:left w:val="none" w:sz="0" w:space="0" w:color="auto"/>
        <w:bottom w:val="none" w:sz="0" w:space="0" w:color="auto"/>
        <w:right w:val="none" w:sz="0" w:space="0" w:color="auto"/>
      </w:divBdr>
    </w:div>
    <w:div w:id="974799952">
      <w:bodyDiv w:val="1"/>
      <w:marLeft w:val="0"/>
      <w:marRight w:val="0"/>
      <w:marTop w:val="0"/>
      <w:marBottom w:val="0"/>
      <w:divBdr>
        <w:top w:val="none" w:sz="0" w:space="0" w:color="auto"/>
        <w:left w:val="none" w:sz="0" w:space="0" w:color="auto"/>
        <w:bottom w:val="none" w:sz="0" w:space="0" w:color="auto"/>
        <w:right w:val="none" w:sz="0" w:space="0" w:color="auto"/>
      </w:divBdr>
    </w:div>
    <w:div w:id="1160388677">
      <w:bodyDiv w:val="1"/>
      <w:marLeft w:val="0"/>
      <w:marRight w:val="0"/>
      <w:marTop w:val="0"/>
      <w:marBottom w:val="0"/>
      <w:divBdr>
        <w:top w:val="none" w:sz="0" w:space="0" w:color="auto"/>
        <w:left w:val="none" w:sz="0" w:space="0" w:color="auto"/>
        <w:bottom w:val="none" w:sz="0" w:space="0" w:color="auto"/>
        <w:right w:val="none" w:sz="0" w:space="0" w:color="auto"/>
      </w:divBdr>
    </w:div>
    <w:div w:id="1412776344">
      <w:bodyDiv w:val="1"/>
      <w:marLeft w:val="0"/>
      <w:marRight w:val="0"/>
      <w:marTop w:val="0"/>
      <w:marBottom w:val="0"/>
      <w:divBdr>
        <w:top w:val="none" w:sz="0" w:space="0" w:color="auto"/>
        <w:left w:val="none" w:sz="0" w:space="0" w:color="auto"/>
        <w:bottom w:val="none" w:sz="0" w:space="0" w:color="auto"/>
        <w:right w:val="none" w:sz="0" w:space="0" w:color="auto"/>
      </w:divBdr>
    </w:div>
    <w:div w:id="1488473840">
      <w:bodyDiv w:val="1"/>
      <w:marLeft w:val="0"/>
      <w:marRight w:val="0"/>
      <w:marTop w:val="0"/>
      <w:marBottom w:val="0"/>
      <w:divBdr>
        <w:top w:val="none" w:sz="0" w:space="0" w:color="auto"/>
        <w:left w:val="none" w:sz="0" w:space="0" w:color="auto"/>
        <w:bottom w:val="none" w:sz="0" w:space="0" w:color="auto"/>
        <w:right w:val="none" w:sz="0" w:space="0" w:color="auto"/>
      </w:divBdr>
    </w:div>
    <w:div w:id="1543441873">
      <w:bodyDiv w:val="1"/>
      <w:marLeft w:val="0"/>
      <w:marRight w:val="0"/>
      <w:marTop w:val="0"/>
      <w:marBottom w:val="0"/>
      <w:divBdr>
        <w:top w:val="none" w:sz="0" w:space="0" w:color="auto"/>
        <w:left w:val="none" w:sz="0" w:space="0" w:color="auto"/>
        <w:bottom w:val="none" w:sz="0" w:space="0" w:color="auto"/>
        <w:right w:val="none" w:sz="0" w:space="0" w:color="auto"/>
      </w:divBdr>
    </w:div>
    <w:div w:id="1822890693">
      <w:bodyDiv w:val="1"/>
      <w:marLeft w:val="0"/>
      <w:marRight w:val="0"/>
      <w:marTop w:val="0"/>
      <w:marBottom w:val="0"/>
      <w:divBdr>
        <w:top w:val="none" w:sz="0" w:space="0" w:color="auto"/>
        <w:left w:val="none" w:sz="0" w:space="0" w:color="auto"/>
        <w:bottom w:val="none" w:sz="0" w:space="0" w:color="auto"/>
        <w:right w:val="none" w:sz="0" w:space="0" w:color="auto"/>
      </w:divBdr>
    </w:div>
    <w:div w:id="20179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iiresearch.com/report/infi1384516-global-marine-pharmaceuticals-market.html" TargetMode="External"/><Relationship Id="rId18" Type="http://schemas.openxmlformats.org/officeDocument/2006/relationships/hyperlink" Target="https://ejournal.unpatti.ac.id/ppr_paperinfo_lnk.php?id=54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21776/ub.jsal.2023.010.03.3" TargetMode="External"/><Relationship Id="rId7" Type="http://schemas.openxmlformats.org/officeDocument/2006/relationships/endnotes" Target="endnotes.xml"/><Relationship Id="rId12" Type="http://schemas.openxmlformats.org/officeDocument/2006/relationships/hyperlink" Target="https://doi.org/10.1002/anie.201000728" TargetMode="External"/><Relationship Id="rId17" Type="http://schemas.openxmlformats.org/officeDocument/2006/relationships/hyperlink" Target="https://seaweednetwork.id/terbesar-di-dunia-luas-habitat-rumput-laut-indonesia-capai-1-2-juta-ha" TargetMode="External"/><Relationship Id="rId25" Type="http://schemas.openxmlformats.org/officeDocument/2006/relationships/hyperlink" Target="https://en.wikipedia.org/wiki/Salinosporamide_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578/jpbkp.v12i2.352" TargetMode="External"/><Relationship Id="rId20" Type="http://schemas.openxmlformats.org/officeDocument/2006/relationships/hyperlink" Target="https://www.antaranews.com/berita/3811323/brin-gali-potensi-biota-laut-untuk-bahan-baku-farmas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farmasi.umi.ac.id/index.php/as-syifaa/article/viewFile/199/pdf" TargetMode="External"/><Relationship Id="rId24" Type="http://schemas.openxmlformats.org/officeDocument/2006/relationships/hyperlink" Target="https://kanalpengetahuan.farmasi.ugm.ac.id/2022/01/14/mikroba-simbion-dari-spons-laut-harta-karun-tersembunyi-di-lau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9303/jp.v12i3.363" TargetMode="External"/><Relationship Id="rId23" Type="http://schemas.openxmlformats.org/officeDocument/2006/relationships/hyperlink" Target="https://doi.org/10.22146/agritech.10397" TargetMode="External"/><Relationship Id="rId28" Type="http://schemas.openxmlformats.org/officeDocument/2006/relationships/footer" Target="footer1.xml"/><Relationship Id="rId10" Type="http://schemas.openxmlformats.org/officeDocument/2006/relationships/hyperlink" Target="https://www.businessresearchinsights.com/market-reports/marine-pharmaceuticals-market-100954" TargetMode="External"/><Relationship Id="rId19" Type="http://schemas.openxmlformats.org/officeDocument/2006/relationships/hyperlink" Target="https://doi.org/10.32795/widyabiologi.v12i02.214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kompas.id/baca/humaniora/2023/12/14/biota-laut-indonesia-berpotensi-dikembangkan-sebagai-bahan-baku-obat" TargetMode="External"/><Relationship Id="rId14" Type="http://schemas.openxmlformats.org/officeDocument/2006/relationships/hyperlink" Target="https://www.factmr.com/report/marine-derived-pharmaceuticals-market" TargetMode="External"/><Relationship Id="rId22" Type="http://schemas.openxmlformats.org/officeDocument/2006/relationships/hyperlink" Target="https://pustekkelautan.ugm.ac.id/2017/10/12/peluang-dan-tantangan-organisme-laut-sebagai-sumber-obat-masa-depan/"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mesakivanjunius@gmail.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dx.doi.org/10.69855/science.v1i3.82" TargetMode="External"/><Relationship Id="rId2" Type="http://schemas.openxmlformats.org/officeDocument/2006/relationships/hyperlink" Target="https://gpijournal.com/index.php/science" TargetMode="External"/><Relationship Id="rId1" Type="http://schemas.openxmlformats.org/officeDocument/2006/relationships/hyperlink" Target="http://dx.doi.org/10.69855/science.v1i3.82" TargetMode="External"/><Relationship Id="rId5" Type="http://schemas.openxmlformats.org/officeDocument/2006/relationships/image" Target="media/image3.jpeg"/><Relationship Id="rId4" Type="http://schemas.openxmlformats.org/officeDocument/2006/relationships/hyperlink" Target="https://gpijournal.com/index.php/scienc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Miracle%20Journal%20Get%20Press\IJAE%20TEMPLATE%202020-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8233A-6649-4AF5-B064-D8BBE413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IJAE TEMPLATE 2020-OTH</Template>
  <TotalTime>200</TotalTime>
  <Pages>8</Pages>
  <Words>3373</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22560</CharactersWithSpaces>
  <SharedDoc>false</SharedDoc>
  <HLinks>
    <vt:vector size="36" baseType="variant">
      <vt:variant>
        <vt:i4>2490495</vt:i4>
      </vt:variant>
      <vt:variant>
        <vt:i4>3</vt:i4>
      </vt:variant>
      <vt:variant>
        <vt:i4>0</vt:i4>
      </vt:variant>
      <vt:variant>
        <vt:i4>5</vt:i4>
      </vt:variant>
      <vt:variant>
        <vt:lpwstr>http://www.nap.edu/catalog/9853/how-people-learn-brain-</vt:lpwstr>
      </vt:variant>
      <vt:variant>
        <vt:lpwstr/>
      </vt:variant>
      <vt:variant>
        <vt:i4>6488166</vt:i4>
      </vt:variant>
      <vt:variant>
        <vt:i4>19</vt:i4>
      </vt:variant>
      <vt:variant>
        <vt:i4>0</vt:i4>
      </vt:variant>
      <vt:variant>
        <vt:i4>5</vt:i4>
      </vt:variant>
      <vt:variant>
        <vt:lpwstr>http://creativecommons.org/licenses/by/4.0/</vt:lpwstr>
      </vt:variant>
      <vt:variant>
        <vt:lpwstr/>
      </vt:variant>
      <vt:variant>
        <vt:i4>6488166</vt:i4>
      </vt:variant>
      <vt:variant>
        <vt:i4>17</vt:i4>
      </vt:variant>
      <vt:variant>
        <vt:i4>0</vt:i4>
      </vt:variant>
      <vt:variant>
        <vt:i4>5</vt:i4>
      </vt:variant>
      <vt:variant>
        <vt:lpwstr>http://creativecommons.org/licenses/by/4.0/</vt:lpwstr>
      </vt:variant>
      <vt:variant>
        <vt:lpwstr/>
      </vt:variant>
      <vt:variant>
        <vt:i4>7667771</vt:i4>
      </vt:variant>
      <vt:variant>
        <vt:i4>11</vt:i4>
      </vt:variant>
      <vt:variant>
        <vt:i4>0</vt:i4>
      </vt:variant>
      <vt:variant>
        <vt:i4>5</vt:i4>
      </vt:variant>
      <vt:variant>
        <vt:lpwstr>http://u.lipi.go.id/1593190689</vt:lpwstr>
      </vt:variant>
      <vt:variant>
        <vt:lpwstr/>
      </vt:variant>
      <vt:variant>
        <vt:i4>6488166</vt:i4>
      </vt:variant>
      <vt:variant>
        <vt:i4>8</vt:i4>
      </vt:variant>
      <vt:variant>
        <vt:i4>0</vt:i4>
      </vt:variant>
      <vt:variant>
        <vt:i4>5</vt:i4>
      </vt:variant>
      <vt:variant>
        <vt:lpwstr>http://creativecommons.org/licenses/by/4.0/</vt:lpwstr>
      </vt:variant>
      <vt:variant>
        <vt:lpwstr/>
      </vt:variant>
      <vt:variant>
        <vt:i4>6488166</vt:i4>
      </vt:variant>
      <vt:variant>
        <vt:i4>6</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43</cp:revision>
  <cp:lastPrinted>2025-07-18T08:49:00Z</cp:lastPrinted>
  <dcterms:created xsi:type="dcterms:W3CDTF">2024-11-04T03:24:00Z</dcterms:created>
  <dcterms:modified xsi:type="dcterms:W3CDTF">2025-07-18T08:49:00Z</dcterms:modified>
</cp:coreProperties>
</file>